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77777777" w:rsidR="002D4DF5" w:rsidRDefault="0089199E">
      <w:pPr>
        <w:rPr>
          <w:b/>
          <w:bCs/>
          <w:sz w:val="28"/>
          <w:szCs w:val="28"/>
        </w:rPr>
      </w:pPr>
      <w:r>
        <w:rPr>
          <w:b/>
          <w:bCs/>
          <w:sz w:val="28"/>
          <w:szCs w:val="28"/>
        </w:rPr>
        <w:t>Chapter 3</w:t>
      </w:r>
    </w:p>
    <w:p w14:paraId="65121ED2" w14:textId="77777777" w:rsidR="002D4DF5" w:rsidRDefault="0089199E">
      <w:pPr>
        <w:rPr>
          <w:b/>
          <w:bCs/>
          <w:u w:val="single"/>
        </w:rPr>
      </w:pPr>
      <w:r>
        <w:rPr>
          <w:b/>
          <w:bCs/>
          <w:u w:val="single"/>
        </w:rPr>
        <w:t>Section A (conservation investment)</w:t>
      </w:r>
    </w:p>
    <w:p w14:paraId="0335459F" w14:textId="77777777" w:rsidR="002D4DF5" w:rsidRDefault="0089199E">
      <w:commentRangeStart w:id="0"/>
      <w:r>
        <w:rPr>
          <w:b/>
          <w:bCs/>
        </w:rPr>
        <w:t xml:space="preserve">Introduction </w:t>
      </w:r>
      <w:commentRangeEnd w:id="0"/>
      <w:r>
        <w:commentReference w:id="0"/>
      </w:r>
    </w:p>
    <w:p w14:paraId="2DBC8462" w14:textId="1282C652"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 w:name="__Fieldmark__10_362668386"/>
      <w:r>
        <w:rPr>
          <w:rFonts w:cs="Calibri"/>
        </w:rPr>
        <w:t>(Echols et al., 2019; Waldron et al., 2013)</w:t>
      </w:r>
      <w:r>
        <w:fldChar w:fldCharType="end"/>
      </w:r>
      <w:bookmarkEnd w:id="1"/>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2" w:name="__Fieldmark__19_362668386"/>
      <w:r w:rsidR="00F73D32" w:rsidRPr="00F73D32">
        <w:rPr>
          <w:rFonts w:ascii="Calibri" w:hAnsi="Calibri" w:cs="Calibri"/>
        </w:rPr>
        <w:t>(Deutz et al., 2020)</w:t>
      </w:r>
      <w:r>
        <w:fldChar w:fldCharType="end"/>
      </w:r>
      <w:bookmarkEnd w:id="2"/>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3" w:name="__Fieldmark__29_362668386"/>
      <w:r>
        <w:rPr>
          <w:rFonts w:cs="Calibri"/>
        </w:rPr>
        <w:t>(Huwyler et al., 2016; Larson et al., 2021)</w:t>
      </w:r>
      <w:r>
        <w:fldChar w:fldCharType="end"/>
      </w:r>
      <w:bookmarkEnd w:id="3"/>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4" w:name="__Fieldmark__36_362668386"/>
      <w:r>
        <w:rPr>
          <w:rFonts w:cs="Calibri"/>
        </w:rPr>
        <w:t>(Huwyler et al., 2016)</w:t>
      </w:r>
      <w:r>
        <w:fldChar w:fldCharType="end"/>
      </w:r>
      <w:bookmarkEnd w:id="4"/>
      <w:r>
        <w:t xml:space="preserve">, green bonds, public-private partnerships, impact investing, and government-led incentives for private sector investment </w:t>
      </w:r>
      <w:r>
        <w:t xml:space="preserve">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 w:name="__Fieldmark__50_362668386"/>
      <w:r>
        <w:rPr>
          <w:rFonts w:cs="Calibri"/>
        </w:rPr>
        <w:t>(Clark et al., 2018)</w:t>
      </w:r>
      <w:r>
        <w:fldChar w:fldCharType="end"/>
      </w:r>
      <w:bookmarkEnd w:id="5"/>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 w:name="__Fieldmark__59_362668386"/>
      <w:r>
        <w:rPr>
          <w:rFonts w:cs="Calibri"/>
        </w:rPr>
        <w:t>(Echols et al., 2019)</w:t>
      </w:r>
      <w:r>
        <w:fldChar w:fldCharType="end"/>
      </w:r>
      <w:bookmarkEnd w:id="6"/>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 w:name="__Fieldmark__68_362668386"/>
      <w:r>
        <w:rPr>
          <w:rFonts w:cs="Calibri"/>
        </w:rPr>
        <w:t>(Clark et al., 2018)</w:t>
      </w:r>
      <w:r>
        <w:fldChar w:fldCharType="end"/>
      </w:r>
      <w:bookmarkEnd w:id="7"/>
      <w:r>
        <w:t xml:space="preserve">. It is therefore likely that in the short- to medium-term, conservation practitioners will remain largely reliant on traditional grant-based funding to implement conservation activities. </w:t>
      </w:r>
    </w:p>
    <w:p w14:paraId="342F701B" w14:textId="6C9D29D2"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lack of 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8" w:name="__Fieldmark__97_362668386"/>
      <w:r>
        <w:rPr>
          <w:rFonts w:cs="Calibri"/>
        </w:rPr>
        <w:t>(Bruner et al., 2004; McBride et al., 2007; Waldron et al., 2013)</w:t>
      </w:r>
      <w:r>
        <w:fldChar w:fldCharType="end"/>
      </w:r>
      <w:bookmarkEnd w:id="8"/>
      <w:r>
        <w:t xml:space="preserve">. Investing conservation funds strategically over time is made difficult when funding is based on short-term grants that generally last between one and five years </w:t>
      </w:r>
      <w:r>
        <w:fldChar w:fldCharType="begin"/>
      </w:r>
      <w:r>
        <w:instrText>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9" w:name="__Fieldmark__112_362668386"/>
      <w:r>
        <w:rPr>
          <w:rFonts w:cs="Calibri"/>
        </w:rPr>
        <w:t>(Hodge and Adams, 2016)</w:t>
      </w:r>
      <w:r>
        <w:fldChar w:fldCharType="end"/>
      </w:r>
      <w:bookmarkEnd w:id="9"/>
      <w:r>
        <w:t xml:space="preserve">. </w:t>
      </w:r>
      <w:commentRangeStart w:id="10"/>
      <w:commentRangeStart w:id="11"/>
      <w:r>
        <w:t xml:space="preserve">Most conservation </w:t>
      </w:r>
      <w:commentRangeEnd w:id="10"/>
      <w:r w:rsidR="00380D43">
        <w:rPr>
          <w:rStyle w:val="CommentReference"/>
        </w:rPr>
        <w:commentReference w:id="10"/>
      </w:r>
      <w:commentRangeEnd w:id="11"/>
      <w:r w:rsidR="006F0A98">
        <w:rPr>
          <w:rStyle w:val="CommentReference"/>
        </w:rPr>
        <w:commentReference w:id="11"/>
      </w:r>
      <w:r>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This funding model results in long-term budgets that are non-linear, unpredictable, and do not necessarily track changes in threat levels</w:t>
      </w:r>
      <w:r w:rsidR="00FB3821">
        <w:t>.</w:t>
      </w:r>
      <w:r w:rsidR="00B34B5D">
        <w:t xml:space="preserve"> </w:t>
      </w:r>
      <w:r>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F71372">
        <w:instrText xml:space="preserve"> ADDIN ZOTERO_ITEM CSL_CITATION {"citationID":"YTSn3AEh","properties":{"formattedCitation":"(Sohn,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F71372" w:rsidRPr="00F71372">
        <w:rPr>
          <w:rFonts w:ascii="Calibri" w:hAnsi="Calibri" w:cs="Calibri"/>
        </w:rPr>
        <w:t>(Sohn, 2019)</w:t>
      </w:r>
      <w:r w:rsidR="00F71372">
        <w:fldChar w:fldCharType="end"/>
      </w:r>
      <w:r>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t xml:space="preserve">. The same projects will inevitably go through periods of financial hardship, which often occur between grants. </w:t>
      </w:r>
      <w:r w:rsidR="00D6058D">
        <w:t xml:space="preserve">When conservation projects </w:t>
      </w:r>
      <w:r w:rsidR="00FA4C5B">
        <w:t>experience periods of</w:t>
      </w:r>
      <w:r w:rsidR="00D6058D">
        <w:t xml:space="preserve"> inadequate funding, expenditure</w:t>
      </w:r>
      <w:r>
        <w:t xml:space="preserve"> is restricted to minimal core </w:t>
      </w:r>
      <w:r>
        <w:lastRenderedPageBreak/>
        <w:t xml:space="preserve">activities, project activities wind down, staff redundancies occur, </w:t>
      </w:r>
      <w:r w:rsidR="006C7A36">
        <w:t xml:space="preserve">research and monitoring activities decrease, </w:t>
      </w:r>
      <w:r>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 xml:space="preserve">(Bruner et al., 2004; </w:t>
      </w:r>
      <w:proofErr w:type="spellStart"/>
      <w:r w:rsidR="00637A02" w:rsidRPr="00637A02">
        <w:rPr>
          <w:rFonts w:ascii="Calibri" w:hAnsi="Calibri" w:cs="Calibri"/>
        </w:rPr>
        <w:t>Waithaka</w:t>
      </w:r>
      <w:proofErr w:type="spellEnd"/>
      <w:r w:rsidR="00637A02" w:rsidRPr="00637A02">
        <w:rPr>
          <w:rFonts w:ascii="Calibri" w:hAnsi="Calibri" w:cs="Calibri"/>
        </w:rPr>
        <w:t xml:space="preserve"> et al., 2021)</w:t>
      </w:r>
      <w:r w:rsidR="00D6058D">
        <w:fldChar w:fldCharType="end"/>
      </w:r>
      <w:r>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 xml:space="preserve">(Fernandes et al., 2017; </w:t>
      </w:r>
      <w:proofErr w:type="spellStart"/>
      <w:r w:rsidR="006C7A36" w:rsidRPr="006C7A36">
        <w:rPr>
          <w:rFonts w:ascii="Calibri" w:hAnsi="Calibri" w:cs="Calibri"/>
        </w:rPr>
        <w:t>Wittemyer</w:t>
      </w:r>
      <w:proofErr w:type="spellEnd"/>
      <w:r w:rsidR="006C7A36" w:rsidRPr="006C7A36">
        <w:rPr>
          <w:rFonts w:ascii="Calibri" w:hAnsi="Calibri" w:cs="Calibri"/>
        </w:rPr>
        <w:t>, 2011)</w:t>
      </w:r>
      <w:r w:rsidR="00D6058D">
        <w:fldChar w:fldCharType="end"/>
      </w:r>
      <w:r>
        <w:t>. Organisations lose talented staff and thus institutional knowledge, trust between stakeholders and the project or organisation can be lost as commitments may not be met,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t>
      </w:r>
      <w:proofErr w:type="spellStart"/>
      <w:r w:rsidR="00637A02" w:rsidRPr="00637A02">
        <w:rPr>
          <w:rFonts w:ascii="Calibri" w:hAnsi="Calibri" w:cs="Calibri"/>
        </w:rPr>
        <w:t>Waithaka</w:t>
      </w:r>
      <w:proofErr w:type="spellEnd"/>
      <w:r w:rsidR="00637A02" w:rsidRPr="00637A02">
        <w:rPr>
          <w:rFonts w:ascii="Calibri" w:hAnsi="Calibri" w:cs="Calibri"/>
        </w:rPr>
        <w:t xml:space="preserve"> et al., 2021)</w:t>
      </w:r>
      <w:r w:rsidR="00637A02">
        <w:fldChar w:fldCharType="end"/>
      </w:r>
      <w:r>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 xml:space="preserve">(Bang and </w:t>
      </w:r>
      <w:proofErr w:type="spellStart"/>
      <w:r w:rsidR="00B34B5D" w:rsidRPr="00B34B5D">
        <w:rPr>
          <w:rFonts w:ascii="Calibri" w:hAnsi="Calibri" w:cs="Calibri"/>
        </w:rPr>
        <w:t>Khadakkar</w:t>
      </w:r>
      <w:proofErr w:type="spellEnd"/>
      <w:r w:rsidR="00B34B5D" w:rsidRPr="00B34B5D">
        <w:rPr>
          <w:rFonts w:ascii="Calibri" w:hAnsi="Calibri" w:cs="Calibri"/>
        </w:rPr>
        <w:t>, 2020; Henschel et al., 2014)</w:t>
      </w:r>
      <w:r w:rsidR="006B1B53">
        <w:fldChar w:fldCharType="end"/>
      </w:r>
      <w:r>
        <w:t xml:space="preserve">. </w:t>
      </w:r>
    </w:p>
    <w:p w14:paraId="1AEC97C0" w14:textId="0A8EAECC"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2" w:name="__Fieldmark__178_362668386"/>
      <w:r>
        <w:rPr>
          <w:rFonts w:cs="Calibri"/>
        </w:rPr>
        <w:t>(Hodge and Adams, 2016)</w:t>
      </w:r>
      <w:r>
        <w:fldChar w:fldCharType="end"/>
      </w:r>
      <w:bookmarkEnd w:id="12"/>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3" w:name="__Fieldmark__188_362668386"/>
      <w:r>
        <w:rPr>
          <w:rFonts w:cs="Calibri"/>
        </w:rPr>
        <w:t>(Laufer and Jones, 2021)</w:t>
      </w:r>
      <w:r>
        <w:fldChar w:fldCharType="end"/>
      </w:r>
      <w:bookmarkEnd w:id="13"/>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4" w:name="__Fieldmark__228_362668386"/>
      <w:r>
        <w:rPr>
          <w:rFonts w:cs="Calibri"/>
        </w:rPr>
        <w:t>(Emerton et al., 2006)</w:t>
      </w:r>
      <w:r>
        <w:fldChar w:fldCharType="end"/>
      </w:r>
      <w:bookmarkEnd w:id="14"/>
      <w:r>
        <w:t>.</w:t>
      </w:r>
      <w:r w:rsidR="006F0A98">
        <w:t xml:space="preserve"> </w:t>
      </w:r>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5" w:name="__Fieldmark__244_362668386"/>
      <w:r>
        <w:rPr>
          <w:rFonts w:cs="Calibri"/>
        </w:rPr>
        <w:t>(Coad et al., 2019)</w:t>
      </w:r>
      <w:r>
        <w:fldChar w:fldCharType="end"/>
      </w:r>
      <w:bookmarkEnd w:id="15"/>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6" w:name="__Fieldmark__252_362668386"/>
      <w:r>
        <w:rPr>
          <w:rFonts w:cs="Calibri"/>
        </w:rPr>
        <w:t>(Kearney et al., 2020; Pringle, 2017)</w:t>
      </w:r>
      <w:r>
        <w:fldChar w:fldCharType="end"/>
      </w:r>
      <w:bookmarkEnd w:id="16"/>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7" w:name="__Fieldmark__264_362668386"/>
      <w:r>
        <w:rPr>
          <w:rFonts w:cs="Calibri"/>
        </w:rPr>
        <w:t>(Tulloch et al., 2020)</w:t>
      </w:r>
      <w:r>
        <w:fldChar w:fldCharType="end"/>
      </w:r>
      <w:bookmarkEnd w:id="17"/>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8" w:name="__Fieldmark__276_362668386"/>
      <w:r>
        <w:rPr>
          <w:rFonts w:cs="Calibri"/>
        </w:rPr>
        <w:t>(Fryxell et al., 2010)</w:t>
      </w:r>
      <w:r>
        <w:fldChar w:fldCharType="end"/>
      </w:r>
      <w:bookmarkEnd w:id="18"/>
      <w:r>
        <w:t xml:space="preserve">. In the absence of dramatic increases in funding and resources available to landscape managers, studies that explore the trade-offs between different strategies for investing existing resources will be critical. Site-level assessments of investment </w:t>
      </w:r>
      <w:r>
        <w:lastRenderedPageBreak/>
        <w:t xml:space="preserve">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19" w:name="__Fieldmark__282_362668386"/>
      <w:r>
        <w:rPr>
          <w:rFonts w:cs="Calibri"/>
        </w:rPr>
        <w:t>(see Ervin, 2003; Utami et al., 2020)</w:t>
      </w:r>
      <w:r>
        <w:fldChar w:fldCharType="end"/>
      </w:r>
      <w:bookmarkEnd w:id="19"/>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0" w:name="__Fieldmark__297_362668386"/>
      <w:r>
        <w:rPr>
          <w:rFonts w:cs="Calibri"/>
        </w:rPr>
        <w:t>(Wilson et al., 2006)</w:t>
      </w:r>
      <w:r>
        <w:fldChar w:fldCharType="end"/>
      </w:r>
      <w:bookmarkEnd w:id="20"/>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1" w:name="__Fieldmark__305_362668386"/>
      <w:r>
        <w:rPr>
          <w:rFonts w:cs="Calibri"/>
        </w:rPr>
        <w:t>(Armsworth et al., 2018; Murdoch et al., 2010)</w:t>
      </w:r>
      <w:r>
        <w:fldChar w:fldCharType="end"/>
      </w:r>
      <w:bookmarkEnd w:id="21"/>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310_362668386"/>
      <w:r>
        <w:rPr>
          <w:rFonts w:cs="Calibri"/>
        </w:rPr>
        <w:t>(Meir et al., 2004; Wilson et al., 2006)</w:t>
      </w:r>
      <w:r>
        <w:fldChar w:fldCharType="end"/>
      </w:r>
      <w:bookmarkEnd w:id="22"/>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3" w:name="__Fieldmark__315_362668386"/>
      <w:r>
        <w:rPr>
          <w:rFonts w:cs="Calibri"/>
        </w:rPr>
        <w:t>(Fishburn et al., 2013)</w:t>
      </w:r>
      <w:r>
        <w:fldChar w:fldCharType="end"/>
      </w:r>
      <w:bookmarkEnd w:id="23"/>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4" w:name="__Fieldmark__320_362668386"/>
      <w:r>
        <w:rPr>
          <w:rFonts w:cs="Calibri"/>
        </w:rPr>
        <w:t>(Tulloch et al., 2020)</w:t>
      </w:r>
      <w:r>
        <w:fldChar w:fldCharType="end"/>
      </w:r>
      <w:bookmarkEnd w:id="24"/>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77777777"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5" w:name="__Fieldmark__333_362668386"/>
      <w:r>
        <w:rPr>
          <w:rFonts w:cs="Calibri"/>
        </w:rPr>
        <w:t>(McBride et al., 2007)</w:t>
      </w:r>
      <w:r>
        <w:fldChar w:fldCharType="end"/>
      </w:r>
      <w:bookmarkEnd w:id="25"/>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40_362668386"/>
      <w:r>
        <w:rPr>
          <w:rFonts w:cs="Calibri"/>
        </w:rPr>
        <w:t>(McBride et al., 2007)</w:t>
      </w:r>
      <w:r>
        <w:fldChar w:fldCharType="end"/>
      </w:r>
      <w:bookmarkEnd w:id="26"/>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7" w:name="__Fieldmark__347_362668386"/>
      <w:r>
        <w:rPr>
          <w:rFonts w:cs="Calibri"/>
        </w:rPr>
        <w:t>(Lennox and Armsworth, 2011)</w:t>
      </w:r>
      <w:r>
        <w:fldChar w:fldCharType="end"/>
      </w:r>
      <w:bookmarkEnd w:id="27"/>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8" w:name="__Fieldmark__357_362668386"/>
      <w:r>
        <w:rPr>
          <w:rFonts w:cs="Calibri"/>
        </w:rPr>
        <w:t>(Wittemyer et al., 2008)</w:t>
      </w:r>
      <w:r>
        <w:fldChar w:fldCharType="end"/>
      </w:r>
      <w:bookmarkEnd w:id="28"/>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29" w:name="__Fieldmark__362_362668386"/>
      <w:r>
        <w:rPr>
          <w:rFonts w:cs="Calibri"/>
        </w:rPr>
        <w:t>(Lindsey et al., 2014)</w:t>
      </w:r>
      <w:r>
        <w:fldChar w:fldCharType="end"/>
      </w:r>
      <w:bookmarkEnd w:id="29"/>
      <w:r>
        <w:t>. Therefore, understanding how investment decisions by landscape managers affect system dynamics in the context of increasing human pressure and uncertainty</w:t>
      </w:r>
      <w:del w:id="30" w:author="Brad Duthie" w:date="2021-09-22T22:37:00Z">
        <w:r>
          <w:delText>,</w:delText>
        </w:r>
      </w:del>
      <w:r>
        <w:t xml:space="preserve"> will be critical for developing strategies that maximise conservation gains.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1" w:name="__Fieldmark__368_362668386"/>
      <w:r>
        <w:rPr>
          <w:rFonts w:cs="Calibri"/>
        </w:rPr>
        <w:t>(Santana et al., 2014)</w:t>
      </w:r>
      <w:r>
        <w:fldChar w:fldCharType="end"/>
      </w:r>
      <w:bookmarkEnd w:id="3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2" w:name="__Fieldmark__380_362668386"/>
      <w:r>
        <w:rPr>
          <w:rFonts w:cs="Calibri"/>
        </w:rPr>
        <w:t>(Mouquet et al., 2015)</w:t>
      </w:r>
      <w:r>
        <w:fldChar w:fldCharType="end"/>
      </w:r>
      <w:bookmarkEnd w:id="32"/>
      <w:r>
        <w:t xml:space="preserve">. In contrast to empirical studies, simulation modelling offers an analytical environment within which system dynamics can be stress tested without any real-world consequences. </w:t>
      </w:r>
      <w:r>
        <w:rPr>
          <w:i/>
          <w:iCs/>
        </w:rPr>
        <w:t xml:space="preserve"> </w:t>
      </w:r>
    </w:p>
    <w:p w14:paraId="2DE09D86" w14:textId="77777777"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3" w:name="__Fieldmark__395_362668386"/>
      <w:r>
        <w:rPr>
          <w:rFonts w:cs="Calibri"/>
        </w:rPr>
        <w:t>(Doak and Mills, 1994)</w:t>
      </w:r>
      <w:r>
        <w:fldChar w:fldCharType="end"/>
      </w:r>
      <w:bookmarkEnd w:id="3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4" w:name="__Fieldmark__408_362668386"/>
      <w:r>
        <w:rPr>
          <w:rFonts w:cs="Calibri"/>
        </w:rPr>
        <w:t>(Green et al., 2005)</w:t>
      </w:r>
      <w:r>
        <w:fldChar w:fldCharType="end"/>
      </w:r>
      <w:bookmarkEnd w:id="34"/>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5" w:name="__Fieldmark__418_362668386"/>
      <w:r>
        <w:rPr>
          <w:rFonts w:cs="Calibri"/>
        </w:rPr>
        <w:t>(Wilson, 1999)</w:t>
      </w:r>
      <w:r>
        <w:fldChar w:fldCharType="end"/>
      </w:r>
      <w:bookmarkEnd w:id="3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6" w:name="__Fieldmark__434_362668386"/>
      <w:r>
        <w:rPr>
          <w:rFonts w:cs="Calibri"/>
        </w:rPr>
        <w:t>(Levins, 1966)</w:t>
      </w:r>
      <w:r>
        <w:fldChar w:fldCharType="end"/>
      </w:r>
      <w:bookmarkEnd w:id="3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7" w:name="__Fieldmark__458_362668386"/>
      <w:r>
        <w:rPr>
          <w:rFonts w:cs="Calibri"/>
        </w:rPr>
        <w:t>(Green et al., 2005)</w:t>
      </w:r>
      <w:r>
        <w:fldChar w:fldCharType="end"/>
      </w:r>
      <w:bookmarkEnd w:id="37"/>
      <w:r>
        <w:t xml:space="preserve">. Social-ecological systems (SES) are fundamentally complex, dynamic </w:t>
      </w:r>
      <w:r>
        <w:lastRenderedPageBreak/>
        <w:t xml:space="preserve">systems </w:t>
      </w:r>
      <w:del w:id="38" w:author="Brad Duthie" w:date="2021-09-22T22:37:00Z">
        <w:r>
          <w:delText>which</w:delText>
        </w:r>
      </w:del>
      <w:ins w:id="39" w:author="Brad Duthie" w:date="2021-09-22T22:37:00Z">
        <w:r>
          <w:t>that</w:t>
        </w:r>
      </w:ins>
      <w:r>
        <w:t xml:space="preserve">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40" w:name="__Fieldmark__467_362668386"/>
      <w:r>
        <w:rPr>
          <w:rFonts w:cs="Calibri"/>
        </w:rPr>
        <w:t>(Berkes et al., 2000)</w:t>
      </w:r>
      <w:r>
        <w:fldChar w:fldCharType="end"/>
      </w:r>
      <w:bookmarkEnd w:id="40"/>
      <w:r>
        <w:t>. It is implausible to build a model that captures all components of a</w:t>
      </w:r>
      <w:ins w:id="41" w:author="Brad Duthie" w:date="2021-09-22T22:38:00Z">
        <w:r>
          <w:t>n</w:t>
        </w:r>
      </w:ins>
      <w:r>
        <w:t xml:space="preserve">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instrText>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2" w:name="__Fieldmark__477_362668386"/>
      <w:r>
        <w:rPr>
          <w:rFonts w:cs="Calibri"/>
        </w:rPr>
        <w:t>(Bunnefeld et al., 2011; Duthie et al., 2018)</w:t>
      </w:r>
      <w:r>
        <w:fldChar w:fldCharType="end"/>
      </w:r>
      <w:bookmarkEnd w:id="42"/>
      <w:r>
        <w:t xml:space="preserve">.  </w:t>
      </w:r>
    </w:p>
    <w:p w14:paraId="1D07DF0F" w14:textId="77777777"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instrText>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3" w:name="__Fieldmark__499_362668386"/>
      <w:r>
        <w:rPr>
          <w:rFonts w:cs="Calibri"/>
        </w:rPr>
        <w:t>(Duthie et al., 2018)</w:t>
      </w:r>
      <w:r>
        <w:fldChar w:fldCharType="end"/>
      </w:r>
      <w:bookmarkEnd w:id="43"/>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4"/>
      <w:r>
        <w:t xml:space="preserve">mechanisms.  </w:t>
      </w:r>
      <w:commentRangeEnd w:id="44"/>
      <w:r w:rsidR="00380D43">
        <w:rPr>
          <w:rStyle w:val="CommentReference"/>
        </w:rPr>
        <w:commentReference w:id="44"/>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77777777" w:rsidR="002D4DF5" w:rsidRDefault="0089199E">
      <w:r>
        <w:t xml:space="preserve">GMSE is designed to simulate dynamic decision-making by stakeholders in a social-ecological system </w:t>
      </w:r>
      <w:r>
        <w:fldChar w:fldCharType="begin"/>
      </w:r>
      <w:r>
        <w:instrText>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5" w:name="__Fieldmark__518_362668386"/>
      <w:r>
        <w:rPr>
          <w:rFonts w:cs="Calibri"/>
        </w:rPr>
        <w:t>(Duthie et al., 2018)</w:t>
      </w:r>
      <w:r>
        <w:fldChar w:fldCharType="end"/>
      </w:r>
      <w:bookmarkEnd w:id="45"/>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w:t>
      </w:r>
      <w:ins w:id="46" w:author="Brad Duthie" w:date="2021-09-22T22:40:00Z">
        <w:r>
          <w:t>,</w:t>
        </w:r>
      </w:ins>
      <w:r>
        <w:t xml:space="preserve">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w:t>
      </w:r>
      <w:commentRangeStart w:id="47"/>
      <w:r>
        <w:t>Because individuals within the population have discrete traits</w:t>
      </w:r>
      <w:ins w:id="48" w:author="Brad Duthie" w:date="2021-09-22T22:42:00Z">
        <w:r>
          <w:t>,</w:t>
        </w:r>
      </w:ins>
      <w:r>
        <w:t xml:space="preserve"> there is inherent stochasticity </w:t>
      </w:r>
      <w:commentRangeEnd w:id="47"/>
      <w:r>
        <w:commentReference w:id="47"/>
      </w:r>
      <w:r>
        <w:t xml:space="preserve">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w:t>
      </w:r>
      <w:commentRangeStart w:id="49"/>
      <w:r>
        <w:t xml:space="preserve">The </w:t>
      </w:r>
      <w:proofErr w:type="spellStart"/>
      <w:r>
        <w:t>submodel</w:t>
      </w:r>
      <w:proofErr w:type="spellEnd"/>
      <w:r>
        <w:t xml:space="preserve"> has four methods available which mimic commonly used biological monitoring techniques</w:t>
      </w:r>
      <w:commentRangeEnd w:id="49"/>
      <w:r>
        <w:commentReference w:id="49"/>
      </w:r>
      <w:r>
        <w:t xml:space="preserve">. (3) </w:t>
      </w:r>
      <w:ins w:id="50" w:author="Brad Duthie" w:date="2021-09-22T22:42:00Z">
        <w:r>
          <w:t>T</w:t>
        </w:r>
      </w:ins>
      <w:del w:id="51" w:author="Brad Duthie" w:date="2021-09-22T22:42:00Z">
        <w:r>
          <w:delText>t</w:delText>
        </w:r>
      </w:del>
      <w:proofErr w:type="gramStart"/>
      <w:r>
        <w:t>he</w:t>
      </w:r>
      <w:proofErr w:type="gramEnd"/>
      <w:r>
        <w:t xml:space="preserve"> manager model </w:t>
      </w:r>
      <w:del w:id="52" w:author="Brad Duthie" w:date="2021-09-22T22:42:00Z">
        <w:r>
          <w:delText xml:space="preserve">which </w:delText>
        </w:r>
      </w:del>
      <w:r>
        <w:t xml:space="preserve">uses the genetic algorithm (GA, see </w:t>
      </w:r>
      <w:r>
        <w:lastRenderedPageBreak/>
        <w:t>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w:t>
      </w:r>
      <w:ins w:id="53" w:author="Brad Duthie" w:date="2021-09-22T22:45:00Z">
        <w:r>
          <w:t>,</w:t>
        </w:r>
      </w:ins>
      <w:r>
        <w:t xml:space="preserv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3F6AA73D" w14:textId="77777777" w:rsidR="002D4DF5" w:rsidRDefault="0089199E">
      <w:r>
        <w:t>The primary approach to altering system dynamics is via the manager and user budgets. T</w:t>
      </w:r>
      <w:commentRangeStart w:id="54"/>
      <w:r>
        <w:t>hese parameters are relative rather than absolute</w:t>
      </w:r>
      <w:commentRangeEnd w:id="54"/>
      <w:r>
        <w:commentReference w:id="54"/>
      </w:r>
      <w:r>
        <w:t xml:space="preserv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instrText>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w:instrText>
      </w:r>
      <w:r>
        <w:fldChar w:fldCharType="separate"/>
      </w:r>
      <w:bookmarkStart w:id="55" w:name="__Fieldmark__538_362668386"/>
      <w:r>
        <w:rPr>
          <w:rFonts w:cs="Calibri"/>
        </w:rPr>
        <w:t xml:space="preserve">(Cusack et al., 2020; Duthie et al., 2018; </w:t>
      </w:r>
      <w:commentRangeStart w:id="56"/>
      <w:r>
        <w:rPr>
          <w:rFonts w:cs="Calibri"/>
        </w:rPr>
        <w:t>Nilsson et al., 2019</w:t>
      </w:r>
      <w:commentRangeEnd w:id="56"/>
      <w:r>
        <w:commentReference w:id="56"/>
      </w:r>
      <w:r>
        <w:rPr>
          <w:rFonts w:cs="Calibri"/>
        </w:rPr>
        <w:t>)</w:t>
      </w:r>
      <w:r>
        <w:fldChar w:fldCharType="end"/>
      </w:r>
      <w:bookmarkEnd w:id="55"/>
      <w:r>
        <w:t xml:space="preserve">. </w:t>
      </w:r>
    </w:p>
    <w:p w14:paraId="799EA71F" w14:textId="77777777" w:rsidR="002D4DF5" w:rsidRDefault="0089199E">
      <w:r>
        <w:rPr>
          <w:i/>
          <w:iCs/>
        </w:rPr>
        <w:t>Ge</w:t>
      </w:r>
      <w:commentRangeStart w:id="57"/>
      <w:r>
        <w:rPr>
          <w:i/>
          <w:iCs/>
        </w:rPr>
        <w:t xml:space="preserve">netic algorithm </w:t>
      </w:r>
      <w:ins w:id="58" w:author="Brad Duthie" w:date="2021-09-22T22:51:00Z">
        <w:r>
          <w:rPr>
            <w:i/>
            <w:iCs/>
          </w:rPr>
          <w:t>(GA)</w:t>
        </w:r>
      </w:ins>
      <w:commentRangeEnd w:id="57"/>
      <w:ins w:id="59" w:author="Brad Duthie" w:date="2021-09-22T22:56:00Z">
        <w:r>
          <w:commentReference w:id="57"/>
        </w:r>
      </w:ins>
    </w:p>
    <w:p w14:paraId="567E59E7" w14:textId="77777777" w:rsidR="002D4DF5" w:rsidRDefault="0089199E">
      <w:commentRangeStart w:id="60"/>
      <w:r>
        <w:t>The GA is the core process by which the manager develops policy and users decide upon actions. The GA mimics the process of natural selection whereby each call to the GA results in several possible strategies being initialised.</w:t>
      </w:r>
      <w:commentRangeEnd w:id="60"/>
      <w:r>
        <w:commentReference w:id="60"/>
      </w:r>
      <w:r>
        <w:t xml:space="preserve"> </w:t>
      </w:r>
      <w:commentRangeStart w:id="61"/>
      <w:r>
        <w:t xml:space="preserve">Multiple iterations then allow cross-over and mutation between the initialised strategies, ensuring that budgets are not exceeded. Each subsequent iteration of strategies is selected via a fitness function and a tournament. </w:t>
      </w:r>
      <w:commentRangeEnd w:id="61"/>
      <w:r>
        <w:commentReference w:id="61"/>
      </w:r>
      <w:r>
        <w:t>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w:t>
      </w:r>
      <w:ins w:id="62" w:author="Brad Duthie" w:date="2021-09-22T22:56:00Z">
        <w:r>
          <w:t>,</w:t>
        </w:r>
      </w:ins>
      <w:r>
        <w:t xml:space="preserve">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484BE6AF" w14:textId="77777777" w:rsidR="002D4DF5" w:rsidRDefault="0089199E">
      <w:pPr>
        <w:rPr>
          <w:i/>
          <w:iCs/>
        </w:rPr>
      </w:pPr>
      <w:r>
        <w:rPr>
          <w:noProof/>
        </w:rPr>
        <w:lastRenderedPageBreak/>
        <w:drawing>
          <wp:inline distT="0" distB="0" distL="0" distR="0" wp14:anchorId="0FE516FC" wp14:editId="62AF8D86">
            <wp:extent cx="35433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543300" cy="3530600"/>
                    </a:xfrm>
                    <a:prstGeom prst="rect">
                      <a:avLst/>
                    </a:prstGeom>
                  </pic:spPr>
                </pic:pic>
              </a:graphicData>
            </a:graphic>
          </wp:inline>
        </w:drawing>
      </w:r>
    </w:p>
    <w:p w14:paraId="22DD9367" w14:textId="77777777" w:rsidR="002D4DF5" w:rsidRDefault="0089199E">
      <w:pPr>
        <w:rPr>
          <w:b/>
          <w:bCs/>
          <w:sz w:val="20"/>
          <w:szCs w:val="20"/>
        </w:rPr>
      </w:pPr>
      <w:commentRangeStart w:id="63"/>
      <w:r>
        <w:rPr>
          <w:b/>
          <w:bCs/>
          <w:sz w:val="20"/>
          <w:szCs w:val="20"/>
        </w:rPr>
        <w:t>Figure 1</w:t>
      </w:r>
      <w:commentRangeEnd w:id="63"/>
      <w:ins w:id="64" w:author="Brad Duthie" w:date="2021-09-22T22:56:00Z">
        <w:r>
          <w:commentReference w:id="63"/>
        </w:r>
        <w:commentRangeStart w:id="65"/>
        <w:commentRangeStart w:id="66"/>
        <w:commentRangeEnd w:id="65"/>
        <w:r>
          <w:rPr>
            <w:b/>
            <w:bCs/>
            <w:sz w:val="20"/>
            <w:szCs w:val="20"/>
          </w:rPr>
          <w:commentReference w:id="65"/>
        </w:r>
      </w:ins>
      <w:commentRangeEnd w:id="66"/>
      <w:r w:rsidR="00380D43">
        <w:rPr>
          <w:rStyle w:val="CommentReference"/>
        </w:rPr>
        <w:commentReference w:id="66"/>
      </w:r>
      <w:r>
        <w:rPr>
          <w:b/>
          <w:bCs/>
          <w:sz w:val="20"/>
          <w:szCs w:val="20"/>
        </w:rPr>
        <w:t xml:space="preserve">.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Figure taken 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77777777" w:rsidR="002D4DF5" w:rsidRDefault="0089199E">
      <w:r>
        <w:t>In this study</w:t>
      </w:r>
      <w:ins w:id="67" w:author="Brad Duthie" w:date="2021-09-22T22:57:00Z">
        <w:r>
          <w:t>,</w:t>
        </w:r>
      </w:ins>
      <w:r>
        <w:t xml:space="preserve">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w:t>
      </w:r>
      <w:ins w:id="68" w:author="Brad Duthie" w:date="2021-09-22T22:58:00Z">
        <w:r>
          <w:t xml:space="preserve">of </w:t>
        </w:r>
      </w:ins>
      <w:r>
        <w:t xml:space="preserve">which had an equal area of spatially explicit land upon which they could act. This resulted in each village having </w:t>
      </w:r>
      <w:ins w:id="69" w:author="Brad Duthie" w:date="2021-09-22T22:58:00Z">
        <w:r>
          <w:t xml:space="preserve">approximately </w:t>
        </w:r>
        <w:commentRangeStart w:id="70"/>
        <w:commentRangeEnd w:id="70"/>
        <w:r>
          <w:commentReference w:id="70"/>
        </w:r>
      </w:ins>
      <w:r>
        <w:t>333.33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46D5CA3" w14:textId="77777777" w:rsidR="002D4DF5" w:rsidRDefault="0089199E">
      <w:pPr>
        <w:rPr>
          <w:u w:val="single"/>
        </w:rPr>
      </w:pPr>
      <w:r>
        <w:rPr>
          <w:u w:val="single"/>
        </w:rPr>
        <w:t xml:space="preserve">Resource population </w:t>
      </w:r>
    </w:p>
    <w:p w14:paraId="12878EB7" w14:textId="77777777"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commentRangeStart w:id="71"/>
      <w:r>
        <w:lastRenderedPageBreak/>
        <w:t xml:space="preserve">distributed across the landscape, </w:t>
      </w:r>
      <w:commentRangeEnd w:id="71"/>
      <w:r>
        <w:commentReference w:id="71"/>
      </w:r>
      <w:r>
        <w:t xml:space="preserve">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commentRangeStart w:id="72"/>
      <w:r>
        <w:rPr>
          <w:u w:val="single"/>
        </w:rPr>
        <w:t>Users</w:t>
      </w:r>
      <w:commentRangeEnd w:id="72"/>
      <w:ins w:id="73" w:author="Brad Duthie" w:date="2021-09-22T23:07:00Z">
        <w:r>
          <w:commentReference w:id="72"/>
        </w:r>
      </w:ins>
    </w:p>
    <w:p w14:paraId="0430192B" w14:textId="77777777"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commentRangeStart w:id="74"/>
      <w:r>
        <w:t xml:space="preserve">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w:t>
      </w:r>
      <w:commentRangeEnd w:id="74"/>
      <w:r>
        <w:commentReference w:id="74"/>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7777777"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w:t>
      </w:r>
      <w:r>
        <w:lastRenderedPageBreak/>
        <w:t>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w:t>
      </w:r>
      <w:ins w:id="75" w:author="Brad Duthie" w:date="2021-09-22T23:09:00Z">
        <w:r>
          <w:t>,</w:t>
        </w:r>
      </w:ins>
      <w:r>
        <w:t xml:space="preserve">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77777777" w:rsidR="002D4DF5" w:rsidRDefault="0089199E">
      <w:r>
        <w:t xml:space="preserve">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w:t>
      </w:r>
      <w:ins w:id="76" w:author="Brad Duthie" w:date="2021-09-22T23:10:00Z">
        <w:r>
          <w:t xml:space="preserve">in decision-making </w:t>
        </w:r>
      </w:ins>
      <w:r>
        <w:t xml:space="preserve">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w:t>
      </w:r>
      <w:commentRangeStart w:id="77"/>
      <w:r>
        <w:t>mean</w:t>
      </w:r>
      <w:commentRangeEnd w:id="77"/>
      <w:r>
        <w:commentReference w:id="77"/>
      </w:r>
      <w:r>
        <w:t>, and lower and upper confidence intervals, respectively. For all scenarios</w:t>
      </w:r>
      <w:ins w:id="78" w:author="Brad Duthie" w:date="2021-09-22T23:11:00Z">
        <w:r>
          <w:t>,</w:t>
        </w:r>
      </w:ins>
      <w:r>
        <w:t xml:space="preserve">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77777777" w:rsidR="002D4DF5" w:rsidRDefault="0089199E">
      <w:r>
        <w:t xml:space="preserve">The manager and user budgets are not equal nor necessarily proportional, as they are used in very different ways </w:t>
      </w:r>
      <w:r>
        <w:fldChar w:fldCharType="begin"/>
      </w:r>
      <w:r>
        <w:instrText>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79" w:name="__Fieldmark__610_362668386"/>
      <w:r>
        <w:rPr>
          <w:rFonts w:cs="Calibri"/>
        </w:rPr>
        <w:t>(Duthie et al., 2018)</w:t>
      </w:r>
      <w:r>
        <w:fldChar w:fldCharType="end"/>
      </w:r>
      <w:bookmarkEnd w:id="79"/>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lastRenderedPageBreak/>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80" w:name="__Fieldmark__617_362668386"/>
      <w:r>
        <w:rPr>
          <w:rFonts w:cs="Calibri"/>
        </w:rPr>
        <w:t>(v4.0.4, R Core Team, 2021)</w:t>
      </w:r>
      <w:r>
        <w:fldChar w:fldCharType="end"/>
      </w:r>
      <w:bookmarkEnd w:id="80"/>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51F9AA10" w14:textId="77777777" w:rsidR="002D4DF5"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77777777" w:rsidR="002D4DF5" w:rsidRDefault="0089199E">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A8EE3DD" w14:textId="77777777" w:rsidR="002D4DF5" w:rsidRDefault="0089199E">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t>
      </w:r>
      <w:r>
        <w:lastRenderedPageBreak/>
        <w:t>wave frequency, between 1 and 150 for the wave strength (amplitude), and between 0 and 180 for the wave delay. The three sine waves were then combined using an Inverse Fourier Transform to produce a random complex wave</w:t>
      </w:r>
      <w:commentRangeStart w:id="81"/>
      <w:r>
        <w:t xml:space="preserve"> (</w:t>
      </w:r>
      <w:r>
        <w:rPr>
          <w:highlight w:val="yellow"/>
        </w:rPr>
        <w:t>ref?</w:t>
      </w:r>
      <w:r>
        <w:t>)</w:t>
      </w:r>
      <w:commentRangeEnd w:id="81"/>
      <w:r>
        <w:commentReference w:id="81"/>
      </w:r>
      <w:r>
        <w:t xml:space="preserve">. Each of the 100 replicates produced a different complex wave (Figure 2 shows 10 examples, see Supporting Information section 4 for all the waves used in the simulations). The Inverse Fourier Transform took the </w:t>
      </w:r>
      <w:commentRangeStart w:id="82"/>
      <w:r>
        <w:t>form</w:t>
      </w:r>
      <w:ins w:id="83" w:author="Brad Duthie" w:date="2021-09-22T23:20:00Z">
        <w:r>
          <w:t>,</w:t>
        </w:r>
      </w:ins>
      <w:del w:id="84" w:author="Brad Duthie" w:date="2021-09-22T23:20:00Z">
        <w:r>
          <w:delText>:</w:delText>
        </w:r>
      </w:del>
      <w:commentRangeEnd w:id="82"/>
      <w:ins w:id="85" w:author="Brad Duthie" w:date="2021-09-22T23:17:00Z">
        <w:r>
          <w:commentReference w:id="82"/>
        </w:r>
        <w:commentRangeStart w:id="86"/>
        <w:commentRangeEnd w:id="86"/>
        <w:r>
          <w:commentReference w:id="86"/>
        </w:r>
      </w:ins>
    </w:p>
    <w:p w14:paraId="16C85FD7" w14:textId="77777777" w:rsidR="002D4DF5" w:rsidRDefault="0089199E">
      <m:oMath>
        <m:r>
          <w:rPr>
            <w:rFonts w:ascii="Cambria Math" w:hAnsi="Cambria Math"/>
          </w:rPr>
          <m:t>trj=acs+</m:t>
        </m:r>
        <m:nary>
          <m:naryPr>
            <m:chr m:val="∑"/>
            <m:subHide m:val="1"/>
            <m:supHide m:val="1"/>
            <m:ctrlPr>
              <w:rPr>
                <w:rFonts w:ascii="Cambria Math" w:hAnsi="Cambria Math"/>
              </w:rPr>
            </m:ctrlPr>
          </m:naryPr>
          <m:sub/>
          <m:sup/>
          <m:e>
            <m:r>
              <w:rPr>
                <w:rFonts w:ascii="Cambria Math" w:hAnsi="Cambria Math"/>
              </w:rPr>
              <m:t>cs×sin⁡</m:t>
            </m:r>
            <m:d>
              <m:dPr>
                <m:ctrlPr>
                  <w:rPr>
                    <w:rFonts w:ascii="Cambria Math" w:hAnsi="Cambria Math"/>
                  </w:rPr>
                </m:ctrlPr>
              </m:dPr>
              <m:e>
                <m:r>
                  <w:rPr>
                    <w:rFonts w:ascii="Cambria Math" w:hAnsi="Cambria Math"/>
                  </w:rPr>
                  <m:t>cf×w×t+cd</m:t>
                </m:r>
              </m:e>
            </m:d>
          </m:e>
        </m:nary>
      </m:oMath>
      <w:ins w:id="87" w:author="Brad Duthie" w:date="2021-09-22T23:20:00Z">
        <w:r>
          <w:t>.</w:t>
        </w:r>
      </w:ins>
    </w:p>
    <w:p w14:paraId="20118AAE" w14:textId="77777777" w:rsidR="002D4DF5" w:rsidRDefault="0089199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C020B4D" w14:textId="77777777" w:rsidR="002D4DF5" w:rsidRDefault="0089199E">
      <w:pPr>
        <w:rPr>
          <w:u w:val="single"/>
        </w:rPr>
      </w:pPr>
      <w:r>
        <w:rPr>
          <w:u w:val="single"/>
        </w:rPr>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7777777"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88"/>
      <w:r>
        <w:t>ts to 25,000, using</w:t>
      </w:r>
      <w:ins w:id="89" w:author="Brad Duthie" w:date="2021-09-22T23:19:00Z">
        <w:r>
          <w:t>,</w:t>
        </w:r>
      </w:ins>
      <w:del w:id="90" w:author="Brad Duthie" w:date="2021-09-22T23:19:00Z">
        <w:r>
          <w:delText>:</w:delText>
        </w:r>
      </w:del>
      <w:commentRangeEnd w:id="88"/>
      <w:ins w:id="91" w:author="Brad Duthie" w:date="2021-09-22T23:14:00Z">
        <w:r>
          <w:commentReference w:id="88"/>
        </w:r>
      </w:ins>
    </w:p>
    <w:p w14:paraId="66C6C2DC" w14:textId="77777777" w:rsidR="002D4DF5" w:rsidRDefault="0089199E">
      <m:oMath>
        <m:r>
          <w:rPr>
            <w:rFonts w:ascii="Cambria Math" w:hAnsi="Cambria Math"/>
          </w:rPr>
          <m:t>25000×</m:t>
        </m:r>
        <m:f>
          <m:fPr>
            <m:ctrlPr>
              <w:rPr>
                <w:rFonts w:ascii="Cambria Math" w:hAnsi="Cambria Math"/>
              </w:rPr>
            </m:ctrlPr>
          </m:fPr>
          <m:num>
            <m:r>
              <w:rPr>
                <w:rFonts w:ascii="Cambria Math" w:hAnsi="Cambria Math"/>
              </w:rPr>
              <m:t>x</m:t>
            </m:r>
          </m:num>
          <m:den>
            <m:nary>
              <m:naryPr>
                <m:chr m:val="∑"/>
                <m:subHide m:val="1"/>
                <m:supHide m:val="1"/>
                <m:ctrlPr>
                  <w:rPr>
                    <w:rFonts w:ascii="Cambria Math" w:hAnsi="Cambria Math"/>
                  </w:rPr>
                </m:ctrlPr>
              </m:naryPr>
              <m:sub/>
              <m:sup/>
              <m:e>
                <m:r>
                  <w:rPr>
                    <w:rFonts w:ascii="Cambria Math" w:hAnsi="Cambria Math"/>
                  </w:rPr>
                  <m:t>x</m:t>
                </m:r>
              </m:e>
            </m:nary>
          </m:den>
        </m:f>
      </m:oMath>
      <w:ins w:id="92" w:author="Brad Duthie" w:date="2021-09-22T23:20:00Z">
        <w:r>
          <w:t>,</w:t>
        </w:r>
      </w:ins>
    </w:p>
    <w:p w14:paraId="722E5EB7" w14:textId="77777777" w:rsidR="002D4DF5" w:rsidRDefault="0089199E">
      <w:r>
        <w:t xml:space="preserve">where </w:t>
      </w:r>
      <w:r>
        <w:rPr>
          <w:i/>
          <w:iCs/>
        </w:rPr>
        <w:t>x</w:t>
      </w:r>
      <w:r>
        <w:t xml:space="preserve"> is the vector of manager budget values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77777777"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w:t>
      </w:r>
      <w:commentRangeStart w:id="93"/>
      <w:r>
        <w:t>10 budget points to increase the cost of felling by 1</w:t>
      </w:r>
      <w:commentRangeEnd w:id="93"/>
      <w:r>
        <w:commentReference w:id="93"/>
      </w:r>
      <w:r>
        <w:t>. There is always a minimum cost of an action of 10. Therefore, the cost of an action for the user, assuming the manager is using all their budget to increase the cost of the action, will be</w:t>
      </w:r>
      <w:ins w:id="94" w:author="Brad Duthie" w:date="2021-09-22T23:21:00Z">
        <w:r>
          <w:t>,</w:t>
        </w:r>
      </w:ins>
      <w:del w:id="95" w:author="Brad Duthie" w:date="2021-09-22T23:21:00Z">
        <w:r>
          <w:delText>:</w:delText>
        </w:r>
      </w:del>
    </w:p>
    <w:p w14:paraId="15B9C018" w14:textId="77777777" w:rsidR="002D4DF5" w:rsidRDefault="0089199E">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w:ins w:id="96" w:author="Brad Duthie" w:date="2021-09-22T23:21:00Z">
        <w:r>
          <w:rPr>
            <w:rFonts w:eastAsiaTheme="minorEastAsia"/>
          </w:rPr>
          <w:t>.</w:t>
        </w:r>
      </w:ins>
    </w:p>
    <w:p w14:paraId="120B05D4" w14:textId="77777777" w:rsidR="002D4DF5" w:rsidRDefault="0089199E">
      <w:del w:id="97" w:author="Brad Duthie" w:date="2021-09-22T23:21:00Z">
        <w:r>
          <w:rPr>
            <w:rFonts w:eastAsiaTheme="minorEastAsia"/>
          </w:rPr>
          <w:delText>Where</w:delText>
        </w:r>
      </w:del>
      <w:ins w:id="98" w:author="Brad Duthie" w:date="2021-09-22T23:21:00Z">
        <w:r>
          <w:rPr>
            <w:rFonts w:eastAsiaTheme="minorEastAsia"/>
          </w:rPr>
          <w:t>In the above,</w:t>
        </w:r>
      </w:ins>
      <w:r>
        <w:rPr>
          <w:rFonts w:eastAsiaTheme="minorEastAsia"/>
        </w:rPr>
        <w:t xml:space="preserv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77777777" w:rsidR="002D4DF5" w:rsidRDefault="0089199E">
      <w:commentRangeStart w:id="99"/>
      <w:r>
        <w:rPr>
          <w:b/>
          <w:bCs/>
          <w:sz w:val="20"/>
          <w:szCs w:val="20"/>
        </w:rPr>
        <w:lastRenderedPageBreak/>
        <w:t>Table 1. details of the five scenarios</w:t>
      </w:r>
      <w:commentRangeEnd w:id="99"/>
      <w:ins w:id="100" w:author="Brad Duthie" w:date="2021-09-22T23:22:00Z">
        <w:r>
          <w:commentReference w:id="99"/>
        </w:r>
      </w:ins>
    </w:p>
    <w:tbl>
      <w:tblPr>
        <w:tblStyle w:val="TableGrid"/>
        <w:tblW w:w="13948" w:type="dxa"/>
        <w:tblLook w:val="04A0" w:firstRow="1" w:lastRow="0" w:firstColumn="1" w:lastColumn="0" w:noHBand="0" w:noVBand="1"/>
      </w:tblPr>
      <w:tblGrid>
        <w:gridCol w:w="994"/>
        <w:gridCol w:w="5103"/>
        <w:gridCol w:w="1417"/>
        <w:gridCol w:w="1842"/>
        <w:gridCol w:w="420"/>
        <w:gridCol w:w="1419"/>
        <w:gridCol w:w="1134"/>
        <w:gridCol w:w="1619"/>
      </w:tblGrid>
      <w:tr w:rsidR="002D4DF5" w14:paraId="4DD1530E" w14:textId="77777777">
        <w:tc>
          <w:tcPr>
            <w:tcW w:w="993" w:type="dxa"/>
            <w:vMerge w:val="restart"/>
            <w:tcBorders>
              <w:top w:val="single" w:sz="12" w:space="0" w:color="000000"/>
              <w:left w:val="nil"/>
              <w:bottom w:val="nil"/>
              <w:right w:val="nil"/>
            </w:tcBorders>
            <w:shd w:val="clear" w:color="auto" w:fill="auto"/>
            <w:vAlign w:val="center"/>
          </w:tcPr>
          <w:p w14:paraId="1ECAE758" w14:textId="77777777" w:rsidR="002D4DF5" w:rsidRDefault="0089199E">
            <w:pPr>
              <w:spacing w:after="0" w:line="240" w:lineRule="auto"/>
              <w:jc w:val="center"/>
              <w:rPr>
                <w:b/>
                <w:bCs/>
                <w:sz w:val="20"/>
                <w:szCs w:val="20"/>
              </w:rPr>
            </w:pPr>
            <w:r>
              <w:rPr>
                <w:b/>
                <w:bCs/>
                <w:sz w:val="20"/>
                <w:szCs w:val="20"/>
              </w:rPr>
              <w:t>Scenario</w:t>
            </w:r>
          </w:p>
        </w:tc>
        <w:tc>
          <w:tcPr>
            <w:tcW w:w="5102" w:type="dxa"/>
            <w:vMerge w:val="restart"/>
            <w:tcBorders>
              <w:top w:val="single" w:sz="12" w:space="0" w:color="000000"/>
              <w:left w:val="nil"/>
              <w:bottom w:val="nil"/>
              <w:right w:val="nil"/>
            </w:tcBorders>
            <w:shd w:val="clear" w:color="auto" w:fill="auto"/>
            <w:vAlign w:val="center"/>
          </w:tcPr>
          <w:p w14:paraId="6919DF27" w14:textId="77777777" w:rsidR="002D4DF5" w:rsidRDefault="0089199E">
            <w:pPr>
              <w:spacing w:after="0" w:line="240" w:lineRule="auto"/>
              <w:jc w:val="center"/>
              <w:rPr>
                <w:b/>
                <w:bCs/>
                <w:sz w:val="20"/>
                <w:szCs w:val="20"/>
              </w:rPr>
            </w:pPr>
            <w:r>
              <w:rPr>
                <w:b/>
                <w:bCs/>
                <w:sz w:val="20"/>
                <w:szCs w:val="20"/>
              </w:rPr>
              <w:t>Description</w:t>
            </w:r>
          </w:p>
        </w:tc>
        <w:tc>
          <w:tcPr>
            <w:tcW w:w="3259" w:type="dxa"/>
            <w:gridSpan w:val="2"/>
            <w:tcBorders>
              <w:top w:val="single" w:sz="12" w:space="0" w:color="000000"/>
              <w:left w:val="nil"/>
              <w:bottom w:val="single" w:sz="6" w:space="0" w:color="000000"/>
              <w:right w:val="nil"/>
            </w:tcBorders>
            <w:shd w:val="clear" w:color="auto" w:fill="auto"/>
          </w:tcPr>
          <w:p w14:paraId="2092C040" w14:textId="77777777" w:rsidR="002D4DF5" w:rsidRDefault="0089199E">
            <w:pPr>
              <w:spacing w:after="0" w:line="240" w:lineRule="auto"/>
              <w:jc w:val="center"/>
              <w:rPr>
                <w:b/>
                <w:bCs/>
                <w:sz w:val="20"/>
                <w:szCs w:val="20"/>
              </w:rPr>
            </w:pPr>
            <w:r>
              <w:rPr>
                <w:b/>
                <w:bCs/>
                <w:sz w:val="20"/>
                <w:szCs w:val="20"/>
              </w:rPr>
              <w:t>Manager budget</w:t>
            </w:r>
          </w:p>
        </w:tc>
        <w:tc>
          <w:tcPr>
            <w:tcW w:w="420" w:type="dxa"/>
            <w:tcBorders>
              <w:top w:val="single" w:sz="12" w:space="0" w:color="000000"/>
              <w:left w:val="nil"/>
              <w:bottom w:val="nil"/>
              <w:right w:val="nil"/>
            </w:tcBorders>
            <w:shd w:val="clear" w:color="auto" w:fill="auto"/>
          </w:tcPr>
          <w:p w14:paraId="38E60C00" w14:textId="77777777" w:rsidR="002D4DF5" w:rsidRDefault="002D4DF5">
            <w:pPr>
              <w:spacing w:after="0" w:line="240" w:lineRule="auto"/>
              <w:jc w:val="center"/>
              <w:rPr>
                <w:b/>
                <w:bCs/>
                <w:sz w:val="20"/>
                <w:szCs w:val="20"/>
              </w:rPr>
            </w:pPr>
          </w:p>
        </w:tc>
        <w:tc>
          <w:tcPr>
            <w:tcW w:w="4172" w:type="dxa"/>
            <w:gridSpan w:val="3"/>
            <w:tcBorders>
              <w:top w:val="single" w:sz="12" w:space="0" w:color="000000"/>
              <w:left w:val="nil"/>
              <w:bottom w:val="nil"/>
              <w:right w:val="nil"/>
            </w:tcBorders>
            <w:shd w:val="clear" w:color="auto" w:fill="auto"/>
          </w:tcPr>
          <w:p w14:paraId="6C67310B" w14:textId="77777777" w:rsidR="002D4DF5" w:rsidRDefault="0089199E">
            <w:pPr>
              <w:spacing w:after="0" w:line="240" w:lineRule="auto"/>
              <w:jc w:val="center"/>
              <w:rPr>
                <w:b/>
                <w:bCs/>
                <w:sz w:val="20"/>
                <w:szCs w:val="20"/>
              </w:rPr>
            </w:pPr>
            <w:r>
              <w:rPr>
                <w:b/>
                <w:bCs/>
                <w:sz w:val="20"/>
                <w:szCs w:val="20"/>
              </w:rPr>
              <w:t xml:space="preserve">Community resources </w:t>
            </w:r>
          </w:p>
        </w:tc>
      </w:tr>
      <w:tr w:rsidR="002D4DF5" w14:paraId="4DC88088" w14:textId="77777777">
        <w:tc>
          <w:tcPr>
            <w:tcW w:w="993" w:type="dxa"/>
            <w:vMerge/>
            <w:tcBorders>
              <w:top w:val="nil"/>
              <w:left w:val="nil"/>
              <w:bottom w:val="single" w:sz="12" w:space="0" w:color="000000"/>
              <w:right w:val="nil"/>
            </w:tcBorders>
            <w:shd w:val="clear" w:color="auto" w:fill="auto"/>
          </w:tcPr>
          <w:p w14:paraId="726C14D4" w14:textId="77777777" w:rsidR="002D4DF5" w:rsidRDefault="002D4DF5">
            <w:pPr>
              <w:spacing w:after="0" w:line="240" w:lineRule="auto"/>
              <w:jc w:val="center"/>
              <w:rPr>
                <w:b/>
                <w:bCs/>
                <w:sz w:val="20"/>
                <w:szCs w:val="20"/>
              </w:rPr>
            </w:pPr>
          </w:p>
        </w:tc>
        <w:tc>
          <w:tcPr>
            <w:tcW w:w="5102" w:type="dxa"/>
            <w:vMerge/>
            <w:tcBorders>
              <w:top w:val="nil"/>
              <w:left w:val="nil"/>
              <w:bottom w:val="single" w:sz="12" w:space="0" w:color="000000"/>
              <w:right w:val="nil"/>
            </w:tcBorders>
            <w:shd w:val="clear" w:color="auto" w:fill="auto"/>
          </w:tcPr>
          <w:p w14:paraId="3767F391" w14:textId="77777777" w:rsidR="002D4DF5" w:rsidRDefault="002D4DF5">
            <w:pPr>
              <w:spacing w:after="0" w:line="240" w:lineRule="auto"/>
              <w:jc w:val="center"/>
              <w:rPr>
                <w:b/>
                <w:bCs/>
                <w:sz w:val="20"/>
                <w:szCs w:val="20"/>
              </w:rPr>
            </w:pPr>
          </w:p>
        </w:tc>
        <w:tc>
          <w:tcPr>
            <w:tcW w:w="1417" w:type="dxa"/>
            <w:tcBorders>
              <w:top w:val="single" w:sz="6" w:space="0" w:color="000000"/>
              <w:left w:val="nil"/>
              <w:bottom w:val="single" w:sz="12" w:space="0" w:color="000000"/>
              <w:right w:val="nil"/>
            </w:tcBorders>
            <w:shd w:val="clear" w:color="auto" w:fill="auto"/>
          </w:tcPr>
          <w:p w14:paraId="29F7C08B" w14:textId="77777777" w:rsidR="002D4DF5" w:rsidRDefault="0089199E">
            <w:pPr>
              <w:spacing w:after="0" w:line="240" w:lineRule="auto"/>
              <w:jc w:val="center"/>
              <w:rPr>
                <w:b/>
                <w:bCs/>
                <w:sz w:val="20"/>
                <w:szCs w:val="20"/>
              </w:rPr>
            </w:pPr>
            <w:r>
              <w:rPr>
                <w:b/>
                <w:bCs/>
                <w:sz w:val="20"/>
                <w:szCs w:val="20"/>
              </w:rPr>
              <w:t>Starting value</w:t>
            </w:r>
          </w:p>
        </w:tc>
        <w:tc>
          <w:tcPr>
            <w:tcW w:w="1842" w:type="dxa"/>
            <w:tcBorders>
              <w:top w:val="single" w:sz="6" w:space="0" w:color="000000"/>
              <w:left w:val="nil"/>
              <w:bottom w:val="single" w:sz="12" w:space="0" w:color="000000"/>
              <w:right w:val="nil"/>
            </w:tcBorders>
            <w:shd w:val="clear" w:color="auto" w:fill="auto"/>
          </w:tcPr>
          <w:p w14:paraId="20A2572F" w14:textId="77777777" w:rsidR="002D4DF5" w:rsidRDefault="0089199E">
            <w:pPr>
              <w:spacing w:after="0" w:line="240" w:lineRule="auto"/>
              <w:jc w:val="center"/>
              <w:rPr>
                <w:b/>
                <w:bCs/>
                <w:sz w:val="20"/>
                <w:szCs w:val="20"/>
              </w:rPr>
            </w:pPr>
            <w:r>
              <w:rPr>
                <w:b/>
                <w:bCs/>
                <w:sz w:val="20"/>
                <w:szCs w:val="20"/>
              </w:rPr>
              <w:t>Total cumulative budget</w:t>
            </w:r>
          </w:p>
        </w:tc>
        <w:tc>
          <w:tcPr>
            <w:tcW w:w="420" w:type="dxa"/>
            <w:tcBorders>
              <w:top w:val="nil"/>
              <w:left w:val="nil"/>
              <w:bottom w:val="single" w:sz="12" w:space="0" w:color="000000"/>
              <w:right w:val="nil"/>
            </w:tcBorders>
            <w:shd w:val="clear" w:color="auto" w:fill="auto"/>
          </w:tcPr>
          <w:p w14:paraId="0EF772E1" w14:textId="77777777" w:rsidR="002D4DF5" w:rsidRDefault="002D4DF5">
            <w:pPr>
              <w:spacing w:after="0" w:line="240" w:lineRule="auto"/>
              <w:jc w:val="center"/>
              <w:rPr>
                <w:b/>
                <w:bCs/>
                <w:sz w:val="20"/>
                <w:szCs w:val="20"/>
              </w:rPr>
            </w:pPr>
          </w:p>
        </w:tc>
        <w:tc>
          <w:tcPr>
            <w:tcW w:w="1419" w:type="dxa"/>
            <w:tcBorders>
              <w:top w:val="single" w:sz="6" w:space="0" w:color="000000"/>
              <w:left w:val="nil"/>
              <w:bottom w:val="single" w:sz="12" w:space="0" w:color="000000"/>
              <w:right w:val="nil"/>
            </w:tcBorders>
            <w:shd w:val="clear" w:color="auto" w:fill="auto"/>
          </w:tcPr>
          <w:p w14:paraId="45FEDC2F" w14:textId="77777777" w:rsidR="002D4DF5" w:rsidRDefault="0089199E">
            <w:pPr>
              <w:spacing w:after="0" w:line="240" w:lineRule="auto"/>
              <w:jc w:val="center"/>
              <w:rPr>
                <w:b/>
                <w:bCs/>
                <w:sz w:val="20"/>
                <w:szCs w:val="20"/>
              </w:rPr>
            </w:pPr>
            <w:r>
              <w:rPr>
                <w:b/>
                <w:bCs/>
                <w:sz w:val="20"/>
                <w:szCs w:val="20"/>
              </w:rPr>
              <w:t>Starting value</w:t>
            </w:r>
          </w:p>
        </w:tc>
        <w:tc>
          <w:tcPr>
            <w:tcW w:w="1134" w:type="dxa"/>
            <w:tcBorders>
              <w:top w:val="single" w:sz="6" w:space="0" w:color="000000"/>
              <w:left w:val="nil"/>
              <w:bottom w:val="single" w:sz="12" w:space="0" w:color="000000"/>
              <w:right w:val="nil"/>
            </w:tcBorders>
            <w:shd w:val="clear" w:color="auto" w:fill="auto"/>
          </w:tcPr>
          <w:p w14:paraId="5D51C4A0" w14:textId="77777777" w:rsidR="002D4DF5" w:rsidRDefault="0089199E">
            <w:pPr>
              <w:spacing w:after="0" w:line="240" w:lineRule="auto"/>
              <w:jc w:val="center"/>
              <w:rPr>
                <w:b/>
                <w:bCs/>
                <w:sz w:val="20"/>
                <w:szCs w:val="20"/>
              </w:rPr>
            </w:pPr>
            <w:r>
              <w:rPr>
                <w:b/>
                <w:bCs/>
                <w:sz w:val="20"/>
                <w:szCs w:val="20"/>
              </w:rPr>
              <w:t>Slope</w:t>
            </w:r>
          </w:p>
        </w:tc>
        <w:tc>
          <w:tcPr>
            <w:tcW w:w="1619" w:type="dxa"/>
            <w:tcBorders>
              <w:top w:val="single" w:sz="6" w:space="0" w:color="000000"/>
              <w:left w:val="nil"/>
              <w:bottom w:val="single" w:sz="12" w:space="0" w:color="000000"/>
              <w:right w:val="nil"/>
            </w:tcBorders>
            <w:shd w:val="clear" w:color="auto" w:fill="auto"/>
          </w:tcPr>
          <w:p w14:paraId="24F107E4" w14:textId="77777777" w:rsidR="002D4DF5" w:rsidRDefault="0089199E">
            <w:pPr>
              <w:spacing w:after="0" w:line="240" w:lineRule="auto"/>
              <w:jc w:val="center"/>
              <w:rPr>
                <w:b/>
                <w:bCs/>
                <w:sz w:val="20"/>
                <w:szCs w:val="20"/>
              </w:rPr>
            </w:pPr>
            <w:r>
              <w:rPr>
                <w:b/>
                <w:bCs/>
                <w:sz w:val="20"/>
                <w:szCs w:val="20"/>
              </w:rPr>
              <w:t>Total cumulative resources</w:t>
            </w:r>
          </w:p>
        </w:tc>
      </w:tr>
      <w:tr w:rsidR="002D4DF5" w14:paraId="09E8D15C" w14:textId="77777777">
        <w:tc>
          <w:tcPr>
            <w:tcW w:w="993" w:type="dxa"/>
            <w:tcBorders>
              <w:top w:val="single" w:sz="12" w:space="0" w:color="000000"/>
              <w:left w:val="nil"/>
              <w:bottom w:val="nil"/>
              <w:right w:val="nil"/>
            </w:tcBorders>
            <w:shd w:val="clear" w:color="auto" w:fill="auto"/>
          </w:tcPr>
          <w:p w14:paraId="1FF7BEEB" w14:textId="77777777" w:rsidR="002D4DF5" w:rsidRDefault="0089199E">
            <w:pPr>
              <w:spacing w:after="0" w:line="240" w:lineRule="auto"/>
              <w:rPr>
                <w:sz w:val="20"/>
                <w:szCs w:val="20"/>
              </w:rPr>
            </w:pPr>
            <w:r>
              <w:rPr>
                <w:sz w:val="20"/>
                <w:szCs w:val="20"/>
              </w:rPr>
              <w:t>1</w:t>
            </w:r>
          </w:p>
        </w:tc>
        <w:tc>
          <w:tcPr>
            <w:tcW w:w="5102" w:type="dxa"/>
            <w:tcBorders>
              <w:top w:val="single" w:sz="12" w:space="0" w:color="000000"/>
              <w:left w:val="nil"/>
              <w:bottom w:val="nil"/>
              <w:right w:val="nil"/>
            </w:tcBorders>
            <w:shd w:val="clear" w:color="auto" w:fill="auto"/>
          </w:tcPr>
          <w:p w14:paraId="7E640B38" w14:textId="77777777" w:rsidR="002D4DF5" w:rsidRDefault="0089199E">
            <w:pPr>
              <w:spacing w:after="0" w:line="240" w:lineRule="auto"/>
              <w:rPr>
                <w:sz w:val="20"/>
                <w:szCs w:val="20"/>
              </w:rPr>
            </w:pPr>
            <w:r>
              <w:rPr>
                <w:sz w:val="20"/>
                <w:szCs w:val="20"/>
              </w:rPr>
              <w:t xml:space="preserve">Manager budget remains constant (i.e., does not increase) over time. Community resources increases linearly </w:t>
            </w:r>
          </w:p>
        </w:tc>
        <w:tc>
          <w:tcPr>
            <w:tcW w:w="1417" w:type="dxa"/>
            <w:tcBorders>
              <w:top w:val="single" w:sz="12" w:space="0" w:color="000000"/>
              <w:left w:val="nil"/>
              <w:bottom w:val="nil"/>
              <w:right w:val="nil"/>
            </w:tcBorders>
            <w:shd w:val="clear" w:color="auto" w:fill="auto"/>
          </w:tcPr>
          <w:p w14:paraId="5F0F58FB" w14:textId="77777777" w:rsidR="002D4DF5" w:rsidRDefault="0089199E">
            <w:pPr>
              <w:spacing w:after="0" w:line="240" w:lineRule="auto"/>
              <w:jc w:val="center"/>
              <w:rPr>
                <w:sz w:val="20"/>
                <w:szCs w:val="20"/>
              </w:rPr>
            </w:pPr>
            <w:r>
              <w:rPr>
                <w:sz w:val="20"/>
                <w:szCs w:val="20"/>
              </w:rPr>
              <w:t>500</w:t>
            </w:r>
          </w:p>
        </w:tc>
        <w:tc>
          <w:tcPr>
            <w:tcW w:w="1842" w:type="dxa"/>
            <w:tcBorders>
              <w:top w:val="single" w:sz="12" w:space="0" w:color="000000"/>
              <w:left w:val="nil"/>
              <w:bottom w:val="nil"/>
              <w:right w:val="nil"/>
            </w:tcBorders>
            <w:shd w:val="clear" w:color="auto" w:fill="auto"/>
          </w:tcPr>
          <w:p w14:paraId="6AD575EA" w14:textId="77777777" w:rsidR="002D4DF5" w:rsidRDefault="0089199E">
            <w:pPr>
              <w:spacing w:after="0" w:line="240" w:lineRule="auto"/>
              <w:jc w:val="center"/>
              <w:rPr>
                <w:sz w:val="20"/>
                <w:szCs w:val="20"/>
              </w:rPr>
            </w:pPr>
            <w:r>
              <w:rPr>
                <w:sz w:val="20"/>
                <w:szCs w:val="20"/>
              </w:rPr>
              <w:t>25,000</w:t>
            </w:r>
          </w:p>
        </w:tc>
        <w:tc>
          <w:tcPr>
            <w:tcW w:w="420" w:type="dxa"/>
            <w:tcBorders>
              <w:top w:val="single" w:sz="12" w:space="0" w:color="000000"/>
              <w:left w:val="nil"/>
              <w:bottom w:val="nil"/>
              <w:right w:val="nil"/>
            </w:tcBorders>
            <w:shd w:val="clear" w:color="auto" w:fill="auto"/>
          </w:tcPr>
          <w:p w14:paraId="1A197EF5" w14:textId="77777777" w:rsidR="002D4DF5" w:rsidRDefault="002D4DF5">
            <w:pPr>
              <w:spacing w:after="0" w:line="240" w:lineRule="auto"/>
              <w:jc w:val="center"/>
              <w:rPr>
                <w:sz w:val="20"/>
                <w:szCs w:val="20"/>
              </w:rPr>
            </w:pPr>
          </w:p>
        </w:tc>
        <w:tc>
          <w:tcPr>
            <w:tcW w:w="1419" w:type="dxa"/>
            <w:tcBorders>
              <w:top w:val="single" w:sz="12" w:space="0" w:color="000000"/>
              <w:left w:val="nil"/>
              <w:bottom w:val="nil"/>
              <w:right w:val="nil"/>
            </w:tcBorders>
            <w:shd w:val="clear" w:color="auto" w:fill="auto"/>
          </w:tcPr>
          <w:p w14:paraId="5F2834AD" w14:textId="77777777" w:rsidR="002D4DF5" w:rsidRDefault="0089199E">
            <w:pPr>
              <w:spacing w:after="0" w:line="240" w:lineRule="auto"/>
              <w:jc w:val="center"/>
              <w:rPr>
                <w:sz w:val="20"/>
                <w:szCs w:val="20"/>
              </w:rPr>
            </w:pPr>
            <w:r>
              <w:rPr>
                <w:sz w:val="20"/>
                <w:szCs w:val="20"/>
              </w:rPr>
              <w:t>2000</w:t>
            </w:r>
          </w:p>
        </w:tc>
        <w:tc>
          <w:tcPr>
            <w:tcW w:w="1134" w:type="dxa"/>
            <w:tcBorders>
              <w:top w:val="single" w:sz="12" w:space="0" w:color="000000"/>
              <w:left w:val="nil"/>
              <w:bottom w:val="nil"/>
              <w:right w:val="nil"/>
            </w:tcBorders>
            <w:shd w:val="clear" w:color="auto" w:fill="auto"/>
          </w:tcPr>
          <w:p w14:paraId="2479A91D" w14:textId="77777777" w:rsidR="002D4DF5" w:rsidRDefault="0089199E">
            <w:pPr>
              <w:spacing w:after="0" w:line="240" w:lineRule="auto"/>
              <w:jc w:val="center"/>
              <w:rPr>
                <w:sz w:val="20"/>
                <w:szCs w:val="20"/>
              </w:rPr>
            </w:pPr>
            <w:r>
              <w:rPr>
                <w:sz w:val="20"/>
                <w:szCs w:val="20"/>
              </w:rPr>
              <w:t>75</w:t>
            </w:r>
          </w:p>
        </w:tc>
        <w:tc>
          <w:tcPr>
            <w:tcW w:w="1619" w:type="dxa"/>
            <w:tcBorders>
              <w:top w:val="single" w:sz="12" w:space="0" w:color="000000"/>
              <w:left w:val="nil"/>
              <w:bottom w:val="nil"/>
              <w:right w:val="nil"/>
            </w:tcBorders>
            <w:shd w:val="clear" w:color="auto" w:fill="auto"/>
          </w:tcPr>
          <w:p w14:paraId="6A599653" w14:textId="77777777" w:rsidR="002D4DF5" w:rsidRDefault="0089199E">
            <w:pPr>
              <w:spacing w:after="0" w:line="240" w:lineRule="auto"/>
              <w:jc w:val="center"/>
              <w:rPr>
                <w:sz w:val="20"/>
                <w:szCs w:val="20"/>
              </w:rPr>
            </w:pPr>
            <w:r>
              <w:rPr>
                <w:sz w:val="20"/>
                <w:szCs w:val="20"/>
              </w:rPr>
              <w:t>191,875</w:t>
            </w:r>
          </w:p>
        </w:tc>
      </w:tr>
      <w:tr w:rsidR="002D4DF5" w14:paraId="2AA9E609" w14:textId="77777777">
        <w:tc>
          <w:tcPr>
            <w:tcW w:w="993" w:type="dxa"/>
            <w:tcBorders>
              <w:top w:val="nil"/>
              <w:left w:val="nil"/>
              <w:bottom w:val="nil"/>
              <w:right w:val="nil"/>
            </w:tcBorders>
            <w:shd w:val="clear" w:color="auto" w:fill="auto"/>
          </w:tcPr>
          <w:p w14:paraId="43B47CC8" w14:textId="77777777" w:rsidR="002D4DF5" w:rsidRDefault="0089199E">
            <w:pPr>
              <w:spacing w:after="0" w:line="240" w:lineRule="auto"/>
              <w:rPr>
                <w:sz w:val="20"/>
                <w:szCs w:val="20"/>
              </w:rPr>
            </w:pPr>
            <w:r>
              <w:rPr>
                <w:sz w:val="20"/>
                <w:szCs w:val="20"/>
              </w:rPr>
              <w:t>2</w:t>
            </w:r>
          </w:p>
        </w:tc>
        <w:tc>
          <w:tcPr>
            <w:tcW w:w="5102" w:type="dxa"/>
            <w:tcBorders>
              <w:top w:val="nil"/>
              <w:left w:val="nil"/>
              <w:bottom w:val="nil"/>
              <w:right w:val="nil"/>
            </w:tcBorders>
            <w:shd w:val="clear" w:color="auto" w:fill="auto"/>
          </w:tcPr>
          <w:p w14:paraId="7E23CDA2" w14:textId="77777777" w:rsidR="002D4DF5" w:rsidRDefault="0089199E">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1417" w:type="dxa"/>
            <w:tcBorders>
              <w:top w:val="nil"/>
              <w:left w:val="nil"/>
              <w:bottom w:val="nil"/>
              <w:right w:val="nil"/>
            </w:tcBorders>
            <w:shd w:val="clear" w:color="auto" w:fill="auto"/>
          </w:tcPr>
          <w:p w14:paraId="3E94BCE8" w14:textId="77777777" w:rsidR="002D4DF5" w:rsidRDefault="0089199E">
            <w:pPr>
              <w:spacing w:after="0" w:line="240" w:lineRule="auto"/>
              <w:jc w:val="center"/>
              <w:rPr>
                <w:sz w:val="20"/>
                <w:szCs w:val="20"/>
              </w:rPr>
            </w:pPr>
            <w:r>
              <w:rPr>
                <w:sz w:val="20"/>
                <w:szCs w:val="20"/>
              </w:rPr>
              <w:t>126.9</w:t>
            </w:r>
          </w:p>
        </w:tc>
        <w:tc>
          <w:tcPr>
            <w:tcW w:w="1842" w:type="dxa"/>
            <w:tcBorders>
              <w:top w:val="nil"/>
              <w:left w:val="nil"/>
              <w:bottom w:val="nil"/>
              <w:right w:val="nil"/>
            </w:tcBorders>
            <w:shd w:val="clear" w:color="auto" w:fill="auto"/>
          </w:tcPr>
          <w:p w14:paraId="6B1FF043"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43512E54"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1C6B2D40"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56B3B6D5"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4779E744" w14:textId="77777777" w:rsidR="002D4DF5" w:rsidRDefault="0089199E">
            <w:pPr>
              <w:spacing w:after="0" w:line="240" w:lineRule="auto"/>
              <w:jc w:val="center"/>
              <w:rPr>
                <w:sz w:val="20"/>
                <w:szCs w:val="20"/>
              </w:rPr>
            </w:pPr>
            <w:r>
              <w:rPr>
                <w:sz w:val="20"/>
                <w:szCs w:val="20"/>
              </w:rPr>
              <w:t>191,875</w:t>
            </w:r>
          </w:p>
        </w:tc>
      </w:tr>
      <w:tr w:rsidR="002D4DF5" w14:paraId="19B0BB58" w14:textId="77777777">
        <w:tc>
          <w:tcPr>
            <w:tcW w:w="993" w:type="dxa"/>
            <w:tcBorders>
              <w:top w:val="nil"/>
              <w:left w:val="nil"/>
              <w:bottom w:val="nil"/>
              <w:right w:val="nil"/>
            </w:tcBorders>
            <w:shd w:val="clear" w:color="auto" w:fill="auto"/>
          </w:tcPr>
          <w:p w14:paraId="52EAA1F0" w14:textId="77777777" w:rsidR="002D4DF5" w:rsidRDefault="0089199E">
            <w:pPr>
              <w:spacing w:after="0" w:line="240" w:lineRule="auto"/>
              <w:rPr>
                <w:sz w:val="20"/>
                <w:szCs w:val="20"/>
              </w:rPr>
            </w:pPr>
            <w:r>
              <w:rPr>
                <w:sz w:val="20"/>
                <w:szCs w:val="20"/>
              </w:rPr>
              <w:t>3</w:t>
            </w:r>
          </w:p>
        </w:tc>
        <w:tc>
          <w:tcPr>
            <w:tcW w:w="5102" w:type="dxa"/>
            <w:tcBorders>
              <w:top w:val="nil"/>
              <w:left w:val="nil"/>
              <w:bottom w:val="nil"/>
              <w:right w:val="nil"/>
            </w:tcBorders>
            <w:shd w:val="clear" w:color="auto" w:fill="auto"/>
          </w:tcPr>
          <w:p w14:paraId="0E5356A6" w14:textId="77777777" w:rsidR="002D4DF5" w:rsidRDefault="0089199E">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1417" w:type="dxa"/>
            <w:tcBorders>
              <w:top w:val="nil"/>
              <w:left w:val="nil"/>
              <w:bottom w:val="nil"/>
              <w:right w:val="nil"/>
            </w:tcBorders>
            <w:shd w:val="clear" w:color="auto" w:fill="auto"/>
          </w:tcPr>
          <w:p w14:paraId="2E2FC558" w14:textId="77777777" w:rsidR="002D4DF5" w:rsidRDefault="0089199E">
            <w:pPr>
              <w:spacing w:after="0" w:line="240" w:lineRule="auto"/>
              <w:jc w:val="center"/>
              <w:rPr>
                <w:sz w:val="20"/>
                <w:szCs w:val="20"/>
              </w:rPr>
            </w:pPr>
            <w:r>
              <w:rPr>
                <w:sz w:val="20"/>
                <w:szCs w:val="20"/>
              </w:rPr>
              <w:t>499.3</w:t>
            </w:r>
          </w:p>
        </w:tc>
        <w:tc>
          <w:tcPr>
            <w:tcW w:w="1842" w:type="dxa"/>
            <w:tcBorders>
              <w:top w:val="nil"/>
              <w:left w:val="nil"/>
              <w:bottom w:val="nil"/>
              <w:right w:val="nil"/>
            </w:tcBorders>
            <w:shd w:val="clear" w:color="auto" w:fill="auto"/>
          </w:tcPr>
          <w:p w14:paraId="79B28CCB"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51D0410E"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3D5C92EC"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237D4399"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17971296" w14:textId="77777777" w:rsidR="002D4DF5" w:rsidRDefault="0089199E">
            <w:pPr>
              <w:spacing w:after="0" w:line="240" w:lineRule="auto"/>
              <w:jc w:val="center"/>
              <w:rPr>
                <w:sz w:val="20"/>
                <w:szCs w:val="20"/>
              </w:rPr>
            </w:pPr>
            <w:r>
              <w:rPr>
                <w:sz w:val="20"/>
                <w:szCs w:val="20"/>
              </w:rPr>
              <w:t>191,875</w:t>
            </w:r>
          </w:p>
        </w:tc>
      </w:tr>
      <w:tr w:rsidR="002D4DF5" w14:paraId="56549D12" w14:textId="77777777">
        <w:tc>
          <w:tcPr>
            <w:tcW w:w="993" w:type="dxa"/>
            <w:tcBorders>
              <w:top w:val="nil"/>
              <w:left w:val="nil"/>
              <w:bottom w:val="nil"/>
              <w:right w:val="nil"/>
            </w:tcBorders>
            <w:shd w:val="clear" w:color="auto" w:fill="auto"/>
          </w:tcPr>
          <w:p w14:paraId="2C0FD0F3" w14:textId="77777777" w:rsidR="002D4DF5" w:rsidRDefault="0089199E">
            <w:pPr>
              <w:spacing w:after="0" w:line="240" w:lineRule="auto"/>
              <w:rPr>
                <w:sz w:val="20"/>
                <w:szCs w:val="20"/>
              </w:rPr>
            </w:pPr>
            <w:r>
              <w:rPr>
                <w:sz w:val="20"/>
                <w:szCs w:val="20"/>
              </w:rPr>
              <w:t>4</w:t>
            </w:r>
          </w:p>
        </w:tc>
        <w:tc>
          <w:tcPr>
            <w:tcW w:w="5102" w:type="dxa"/>
            <w:tcBorders>
              <w:top w:val="nil"/>
              <w:left w:val="nil"/>
              <w:bottom w:val="nil"/>
              <w:right w:val="nil"/>
            </w:tcBorders>
            <w:shd w:val="clear" w:color="auto" w:fill="auto"/>
          </w:tcPr>
          <w:p w14:paraId="75CFB3AB"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nil"/>
              <w:right w:val="nil"/>
            </w:tcBorders>
            <w:shd w:val="clear" w:color="auto" w:fill="auto"/>
          </w:tcPr>
          <w:p w14:paraId="3C2CAC92"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nil"/>
              <w:right w:val="nil"/>
            </w:tcBorders>
            <w:shd w:val="clear" w:color="auto" w:fill="auto"/>
          </w:tcPr>
          <w:p w14:paraId="18E523D9"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299D0843"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0852B04F"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6742827D"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7D94F3A9" w14:textId="77777777" w:rsidR="002D4DF5" w:rsidRDefault="0089199E">
            <w:pPr>
              <w:spacing w:after="0" w:line="240" w:lineRule="auto"/>
              <w:jc w:val="center"/>
              <w:rPr>
                <w:sz w:val="20"/>
                <w:szCs w:val="20"/>
              </w:rPr>
            </w:pPr>
            <w:r>
              <w:rPr>
                <w:sz w:val="20"/>
                <w:szCs w:val="20"/>
              </w:rPr>
              <w:t>191,875</w:t>
            </w:r>
          </w:p>
        </w:tc>
      </w:tr>
      <w:tr w:rsidR="002D4DF5" w14:paraId="5C331504" w14:textId="77777777">
        <w:tc>
          <w:tcPr>
            <w:tcW w:w="993" w:type="dxa"/>
            <w:tcBorders>
              <w:top w:val="nil"/>
              <w:left w:val="nil"/>
              <w:bottom w:val="single" w:sz="12" w:space="0" w:color="000000"/>
              <w:right w:val="nil"/>
            </w:tcBorders>
            <w:shd w:val="clear" w:color="auto" w:fill="auto"/>
          </w:tcPr>
          <w:p w14:paraId="071A8CFD" w14:textId="77777777" w:rsidR="002D4DF5" w:rsidRDefault="0089199E">
            <w:pPr>
              <w:spacing w:after="0" w:line="240" w:lineRule="auto"/>
              <w:rPr>
                <w:sz w:val="20"/>
                <w:szCs w:val="20"/>
              </w:rPr>
            </w:pPr>
            <w:r>
              <w:rPr>
                <w:sz w:val="20"/>
                <w:szCs w:val="20"/>
              </w:rPr>
              <w:t>5</w:t>
            </w:r>
          </w:p>
        </w:tc>
        <w:tc>
          <w:tcPr>
            <w:tcW w:w="5102" w:type="dxa"/>
            <w:tcBorders>
              <w:top w:val="nil"/>
              <w:left w:val="nil"/>
              <w:bottom w:val="single" w:sz="12" w:space="0" w:color="000000"/>
              <w:right w:val="nil"/>
            </w:tcBorders>
            <w:shd w:val="clear" w:color="auto" w:fill="auto"/>
          </w:tcPr>
          <w:p w14:paraId="209F8A66"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single" w:sz="12" w:space="0" w:color="000000"/>
              <w:right w:val="nil"/>
            </w:tcBorders>
            <w:shd w:val="clear" w:color="auto" w:fill="auto"/>
          </w:tcPr>
          <w:p w14:paraId="238D1F48"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single" w:sz="12" w:space="0" w:color="000000"/>
              <w:right w:val="nil"/>
            </w:tcBorders>
            <w:shd w:val="clear" w:color="auto" w:fill="auto"/>
          </w:tcPr>
          <w:p w14:paraId="77F5D7C8"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single" w:sz="12" w:space="0" w:color="000000"/>
              <w:right w:val="nil"/>
            </w:tcBorders>
            <w:shd w:val="clear" w:color="auto" w:fill="auto"/>
          </w:tcPr>
          <w:p w14:paraId="2D641090" w14:textId="77777777" w:rsidR="002D4DF5" w:rsidRDefault="002D4DF5">
            <w:pPr>
              <w:spacing w:after="0" w:line="240" w:lineRule="auto"/>
              <w:jc w:val="center"/>
              <w:rPr>
                <w:sz w:val="20"/>
                <w:szCs w:val="20"/>
              </w:rPr>
            </w:pPr>
          </w:p>
        </w:tc>
        <w:tc>
          <w:tcPr>
            <w:tcW w:w="1419" w:type="dxa"/>
            <w:tcBorders>
              <w:top w:val="nil"/>
              <w:left w:val="nil"/>
              <w:bottom w:val="single" w:sz="12" w:space="0" w:color="000000"/>
              <w:right w:val="nil"/>
            </w:tcBorders>
            <w:shd w:val="clear" w:color="auto" w:fill="auto"/>
          </w:tcPr>
          <w:p w14:paraId="72DC365B"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single" w:sz="12" w:space="0" w:color="000000"/>
              <w:right w:val="nil"/>
            </w:tcBorders>
            <w:shd w:val="clear" w:color="auto" w:fill="auto"/>
          </w:tcPr>
          <w:p w14:paraId="051E3D4B"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single" w:sz="12" w:space="0" w:color="000000"/>
              <w:right w:val="nil"/>
            </w:tcBorders>
            <w:shd w:val="clear" w:color="auto" w:fill="auto"/>
          </w:tcPr>
          <w:p w14:paraId="74222003" w14:textId="77777777" w:rsidR="002D4DF5" w:rsidRDefault="0089199E">
            <w:pPr>
              <w:spacing w:after="0" w:line="240" w:lineRule="auto"/>
              <w:jc w:val="center"/>
              <w:rPr>
                <w:sz w:val="20"/>
                <w:szCs w:val="20"/>
              </w:rPr>
            </w:pPr>
            <w:r>
              <w:rPr>
                <w:sz w:val="20"/>
                <w:szCs w:val="20"/>
              </w:rPr>
              <w:t>191,875</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77777777"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101"/>
      <w:r>
        <w:t>This is despite having a felling count that increased linearly throughout the simulation (Figure 5).</w:t>
      </w:r>
      <w:commentRangeEnd w:id="101"/>
      <w:r>
        <w:commentReference w:id="101"/>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w:t>
      </w:r>
      <w:commentRangeStart w:id="102"/>
      <w:r>
        <w:t xml:space="preserve">cover (extinction) in </w:t>
      </w:r>
      <w:commentRangeEnd w:id="102"/>
      <w:r w:rsidR="00624780">
        <w:rPr>
          <w:rStyle w:val="CommentReference"/>
        </w:rPr>
        <w:commentReference w:id="102"/>
      </w:r>
      <w:r>
        <w:t xml:space="preserve">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77777777"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commentRangeStart w:id="103"/>
      <w:r>
        <w:t>extinction</w:t>
      </w:r>
      <w:commentRangeEnd w:id="103"/>
      <w:r w:rsidR="00624780">
        <w:rPr>
          <w:rStyle w:val="CommentReference"/>
        </w:rPr>
        <w:commentReference w:id="103"/>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ins w:id="104" w:author="Nils Bunnefeld" w:date="2021-09-23T10:29:00Z">
        <w:r w:rsidR="00A83A57">
          <w:rPr>
            <w:i/>
            <w:iCs/>
          </w:rPr>
          <w:t xml:space="preserve"> (MHMC)</w:t>
        </w:r>
      </w:ins>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77777777" w:rsidR="002D4DF5" w:rsidRDefault="0089199E">
      <w:pPr>
        <w:rPr>
          <w:b/>
          <w:bCs/>
          <w:sz w:val="20"/>
          <w:szCs w:val="20"/>
        </w:rPr>
      </w:pPr>
      <w:r>
        <w:rPr>
          <w:b/>
          <w:bCs/>
          <w:sz w:val="20"/>
          <w:szCs w:val="20"/>
        </w:rPr>
        <w:t>Table 2. Summary of the number of trees remaining at time step 50 (2.5, 50, 97.5 percentiles), and the number of extinctions,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78A9EFA9" w:rsidR="002D4DF5" w:rsidRDefault="0089199E">
            <w:pPr>
              <w:spacing w:after="0" w:line="240" w:lineRule="auto"/>
              <w:jc w:val="center"/>
            </w:pPr>
            <w:del w:id="105" w:author="Nils Bunnefeld" w:date="2021-09-23T10:33:00Z">
              <w:r w:rsidDel="0089199E">
                <w:delText>Number of extinctions</w:delText>
              </w:r>
            </w:del>
            <w:proofErr w:type="gramStart"/>
            <w:ins w:id="106" w:author="Nils Bunnefeld" w:date="2021-09-23T10:35:00Z">
              <w:r>
                <w:t xml:space="preserve">complete </w:t>
              </w:r>
            </w:ins>
            <w:ins w:id="107" w:author="Nils Bunnefeld" w:date="2021-09-23T10:33:00Z">
              <w:r>
                <w:t xml:space="preserve"> forest</w:t>
              </w:r>
              <w:proofErr w:type="gramEnd"/>
              <w:r>
                <w:t xml:space="preserve"> l</w:t>
              </w:r>
            </w:ins>
            <w:ins w:id="108" w:author="Nils Bunnefeld" w:date="2021-09-23T10:34:00Z">
              <w:r>
                <w:t>oss</w:t>
              </w:r>
            </w:ins>
            <w:ins w:id="109" w:author="Nils Bunnefeld" w:date="2021-09-23T10:35:00Z">
              <w:r>
                <w:t xml:space="preserve"> (in %)</w:t>
              </w:r>
            </w:ins>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77777777" w:rsidR="002D4DF5" w:rsidRDefault="0089199E">
      <w:r>
        <w:t xml:space="preserve">Global funding for nature conservation is far below what is </w:t>
      </w:r>
      <w:commentRangeStart w:id="110"/>
      <w:r>
        <w:t>required</w:t>
      </w:r>
      <w:commentRangeEnd w:id="110"/>
      <w:r>
        <w:commentReference w:id="110"/>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11" w:name="__Fieldmark__1068_362668386"/>
      <w:r>
        <w:rPr>
          <w:rFonts w:cs="Calibri"/>
        </w:rPr>
        <w:t>(Freeling and Connell, 2020; Laufer and Jones, 2021)</w:t>
      </w:r>
      <w:r>
        <w:fldChar w:fldCharType="end"/>
      </w:r>
      <w:bookmarkEnd w:id="111"/>
      <w:r>
        <w:t xml:space="preserve">, and the funding that is available is rarely stable or sustainable over periods of more than a few years. To maximise conservation gains it is necessary to provide conservation </w:t>
      </w:r>
      <w:r>
        <w:lastRenderedPageBreak/>
        <w:t xml:space="preserve">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w:t>
      </w:r>
      <w:del w:id="112" w:author="Brad Duthie" w:date="2021-09-22T23:24:00Z">
        <w:r>
          <w:delText>qua</w:delText>
        </w:r>
        <w:commentRangeStart w:id="113"/>
        <w:r>
          <w:delText>ntitative evidence</w:delText>
        </w:r>
      </w:del>
      <w:ins w:id="114" w:author="Brad Duthie" w:date="2021-09-22T23:24:00Z">
        <w:r>
          <w:t>theoretical insight</w:t>
        </w:r>
      </w:ins>
      <w:commentRangeEnd w:id="113"/>
      <w:r>
        <w:commentReference w:id="113"/>
      </w:r>
      <w:r>
        <w:t xml:space="preserve"> that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77777777" w:rsidR="002D4DF5" w:rsidRDefault="0089199E">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115"/>
      <w:r>
        <w:t xml:space="preserve">attempted here. </w:t>
      </w:r>
      <w:commentRangeEnd w:id="115"/>
      <w:r>
        <w:rPr>
          <w:rStyle w:val="CommentReference"/>
        </w:rPr>
        <w:commentReference w:id="115"/>
      </w:r>
    </w:p>
    <w:p w14:paraId="5E4B2961" w14:textId="77777777" w:rsidR="002D4DF5" w:rsidRDefault="0089199E">
      <w:r>
        <w:t xml:space="preserve">Providing a manager with a stable budget that allows the development and maintenance of policies that minimise deforestation over the long-term is the </w:t>
      </w:r>
      <w:commentRangeStart w:id="116"/>
      <w:del w:id="117" w:author="Brad Duthie" w:date="2021-09-22T23:27:00Z">
        <w:r>
          <w:delText>optimal</w:delText>
        </w:r>
      </w:del>
      <w:ins w:id="118" w:author="Brad Duthie" w:date="2021-09-22T23:27:00Z">
        <w:r>
          <w:t>best</w:t>
        </w:r>
      </w:ins>
      <w:commentRangeEnd w:id="116"/>
      <w:r>
        <w:commentReference w:id="116"/>
      </w:r>
      <w:r>
        <w:t xml:space="preserve">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w:t>
      </w:r>
      <w:del w:id="119" w:author="Brad Duthie" w:date="2021-09-22T23:29:00Z">
        <w:r>
          <w:delText>suggest</w:delText>
        </w:r>
      </w:del>
      <w:ins w:id="120" w:author="Brad Duthie" w:date="2021-09-22T23:29:00Z">
        <w:r>
          <w:t>predict that</w:t>
        </w:r>
      </w:ins>
      <w:r>
        <w:t xml:space="preserve"> it could </w:t>
      </w:r>
      <w:commentRangeStart w:id="121"/>
      <w:r>
        <w:t>be several decades before the deforestation trajectories of the tw</w:t>
      </w:r>
      <w:commentRangeEnd w:id="121"/>
      <w:r>
        <w:commentReference w:id="121"/>
      </w:r>
      <w:r>
        <w:t xml:space="preserve">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77777777" w:rsidR="002D4DF5" w:rsidRDefault="0089199E">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w:t>
      </w:r>
      <w:r>
        <w:lastRenderedPageBreak/>
        <w:t xml:space="preserve">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2621DBC1" w14:textId="77777777" w:rsidR="002D4DF5" w:rsidRDefault="0089199E">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w:t>
      </w:r>
      <w:commentRangeStart w:id="122"/>
      <w:r>
        <w:t>biodiversity loss.</w:t>
      </w:r>
      <w:commentRangeEnd w:id="122"/>
      <w:r w:rsidR="00444C49">
        <w:rPr>
          <w:rStyle w:val="CommentReference"/>
        </w:rPr>
        <w:commentReference w:id="122"/>
      </w:r>
    </w:p>
    <w:p w14:paraId="7BF84810" w14:textId="77777777" w:rsidR="002D4DF5" w:rsidRDefault="0089199E">
      <w:pPr>
        <w:rPr>
          <w:i/>
          <w:iCs/>
        </w:rPr>
      </w:pPr>
      <w:r>
        <w:rPr>
          <w:i/>
          <w:iCs/>
        </w:rPr>
        <w:t xml:space="preserve">Key messages </w:t>
      </w:r>
    </w:p>
    <w:p w14:paraId="7EF17C8E" w14:textId="77777777" w:rsidR="002D4DF5" w:rsidRDefault="0089199E">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w:t>
      </w:r>
      <w:r>
        <w:lastRenderedPageBreak/>
        <w:t xml:space="preserve">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23" w:name="__Fieldmark__1102_362668386"/>
      <w:r>
        <w:rPr>
          <w:rFonts w:cs="Calibri"/>
        </w:rPr>
        <w:t>(Echols et al., 2019; Larson et al., 2021)</w:t>
      </w:r>
      <w:r>
        <w:fldChar w:fldCharType="end"/>
      </w:r>
      <w:bookmarkEnd w:id="123"/>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4" w:name="__Fieldmark__1107_362668386"/>
      <w:r>
        <w:rPr>
          <w:rFonts w:cs="Calibri"/>
        </w:rPr>
        <w:t>(Laufer and Jones, 2021)</w:t>
      </w:r>
      <w:r>
        <w:fldChar w:fldCharType="end"/>
      </w:r>
      <w:bookmarkEnd w:id="124"/>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5" w:name="__Fieldmark__1112_362668386"/>
      <w:r>
        <w:rPr>
          <w:rFonts w:cs="Calibri"/>
        </w:rPr>
        <w:t>(Echols et al., 2019)</w:t>
      </w:r>
      <w:r>
        <w:fldChar w:fldCharType="end"/>
      </w:r>
      <w:bookmarkEnd w:id="125"/>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6" w:name="__Fieldmark__1119_362668386"/>
      <w:r>
        <w:rPr>
          <w:rFonts w:cs="Calibri"/>
        </w:rPr>
        <w:t>(Clark et al., 2018)</w:t>
      </w:r>
      <w:r>
        <w:fldChar w:fldCharType="end"/>
      </w:r>
      <w:bookmarkEnd w:id="126"/>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7" w:name="__Fieldmark__1124_362668386"/>
      <w:r>
        <w:rPr>
          <w:rFonts w:cs="Calibri"/>
        </w:rPr>
        <w:t>(Evans et al., 2020)</w:t>
      </w:r>
      <w:r>
        <w:fldChar w:fldCharType="end"/>
      </w:r>
      <w:bookmarkEnd w:id="127"/>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28" w:name="__Fieldmark__1129_362668386"/>
      <w:r>
        <w:rPr>
          <w:rFonts w:cs="Calibri"/>
        </w:rPr>
        <w:t>(Lytras et al., 2021)</w:t>
      </w:r>
      <w:r>
        <w:fldChar w:fldCharType="end"/>
      </w:r>
      <w:bookmarkEnd w:id="128"/>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9" w:name="__Fieldmark__1134_362668386"/>
      <w:r>
        <w:rPr>
          <w:rFonts w:cs="Calibri"/>
        </w:rPr>
        <w:t>(Corlett et al., 2020; Evans et al., 2020)</w:t>
      </w:r>
      <w:r>
        <w:fldChar w:fldCharType="end"/>
      </w:r>
      <w:bookmarkEnd w:id="129"/>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30" w:name="__Fieldmark__1139_362668386"/>
      <w:r>
        <w:rPr>
          <w:rFonts w:cs="Calibri"/>
        </w:rPr>
        <w:t>(Echols et al., 2019)</w:t>
      </w:r>
      <w:r>
        <w:fldChar w:fldCharType="end"/>
      </w:r>
      <w:bookmarkEnd w:id="130"/>
      <w:r>
        <w:t>.</w:t>
      </w:r>
    </w:p>
    <w:p w14:paraId="7D7A8F73" w14:textId="03AEF19E" w:rsidR="002D4DF5" w:rsidRDefault="0089199E">
      <w:pPr>
        <w:rPr>
          <w:ins w:id="131" w:author="Matthew Nuttall" w:date="2021-09-29T08:37:00Z"/>
        </w:rPr>
      </w:pPr>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32" w:name="__Fieldmark__1146_362668386"/>
      <w:r>
        <w:rPr>
          <w:rFonts w:cs="Calibri"/>
        </w:rPr>
        <w:t>(Gruby et al., 2021)</w:t>
      </w:r>
      <w:r>
        <w:fldChar w:fldCharType="end"/>
      </w:r>
      <w:bookmarkEnd w:id="132"/>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33" w:name="__Fieldmark__1151_362668386"/>
      <w:r>
        <w:rPr>
          <w:rFonts w:cs="Calibri"/>
        </w:rPr>
        <w:t>(Betsill et al., 2021)</w:t>
      </w:r>
      <w:r>
        <w:fldChar w:fldCharType="end"/>
      </w:r>
      <w:bookmarkEnd w:id="133"/>
      <w:r>
        <w:t xml:space="preserve">. As independent organisations, foundations have the potential to adapt their funding strategies and mechanisms to maximise effectiveness. If </w:t>
      </w:r>
      <w:r>
        <w:lastRenderedPageBreak/>
        <w:t xml:space="preserve">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34" w:name="__Fieldmark__1157_362668386"/>
      <w:r>
        <w:rPr>
          <w:rFonts w:cs="Calibri"/>
        </w:rPr>
        <w:t>(Freeling and Connell, 2020)</w:t>
      </w:r>
      <w:r>
        <w:fldChar w:fldCharType="end"/>
      </w:r>
      <w:bookmarkEnd w:id="134"/>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5" w:name="__Fieldmark__1174_362668386"/>
      <w:r>
        <w:rPr>
          <w:rFonts w:cs="Calibri"/>
        </w:rPr>
        <w:t>(Clark et al., 2018)</w:t>
      </w:r>
      <w:r>
        <w:fldChar w:fldCharType="end"/>
      </w:r>
      <w:bookmarkEnd w:id="135"/>
      <w:r>
        <w:t xml:space="preserve">. </w:t>
      </w:r>
    </w:p>
    <w:p w14:paraId="6977E987" w14:textId="7E546E3C" w:rsidR="00012A07" w:rsidRDefault="00012A07">
      <w:ins w:id="136" w:author="Matthew Nuttall" w:date="2021-09-29T08:37:00Z">
        <w:r>
          <w:t>Paragraph on PES.</w:t>
        </w:r>
      </w:ins>
    </w:p>
    <w:p w14:paraId="61DE1821" w14:textId="77777777" w:rsidR="002D4DF5" w:rsidRDefault="0089199E">
      <w:commentRangeStart w:id="137"/>
      <w:r>
        <w:t xml:space="preserve">Arguably the most promising </w:t>
      </w:r>
      <w:commentRangeEnd w:id="137"/>
      <w:r w:rsidR="00873FEF">
        <w:rPr>
          <w:rStyle w:val="CommentReference"/>
        </w:rPr>
        <w:commentReference w:id="137"/>
      </w:r>
      <w:r>
        <w:t>avenue for environmental fundi</w:t>
      </w:r>
      <w:commentRangeStart w:id="138"/>
      <w:r>
        <w:t>ng is private finance,</w:t>
      </w:r>
      <w:commentRangeEnd w:id="138"/>
      <w:r>
        <w:commentReference w:id="138"/>
      </w:r>
      <w:r>
        <w:t xml:space="preserv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9" w:name="__Fieldmark__1181_362668386"/>
      <w:r>
        <w:rPr>
          <w:rFonts w:cs="Calibri"/>
        </w:rPr>
        <w:t>(Clark et al., 2018)</w:t>
      </w:r>
      <w:r>
        <w:fldChar w:fldCharType="end"/>
      </w:r>
      <w:bookmarkEnd w:id="139"/>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140" w:name="__Fieldmark__1186_362668386"/>
      <w:r>
        <w:rPr>
          <w:rFonts w:cs="Calibri"/>
        </w:rPr>
        <w:t>(McFarland, 2018)</w:t>
      </w:r>
      <w:r>
        <w:fldChar w:fldCharType="end"/>
      </w:r>
      <w:bookmarkEnd w:id="140"/>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141" w:name="__Fieldmark__1191_362668386"/>
      <w:r>
        <w:rPr>
          <w:rFonts w:cs="Calibri"/>
        </w:rPr>
        <w:t>(Torres and Zeidan, 2016)</w:t>
      </w:r>
      <w:r>
        <w:fldChar w:fldCharType="end"/>
      </w:r>
      <w:bookmarkEnd w:id="141"/>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42" w:name="__Fieldmark__1196_362668386"/>
      <w:r>
        <w:rPr>
          <w:rFonts w:cs="Calibri"/>
        </w:rPr>
        <w:t>(Clark et al., 2018)</w:t>
      </w:r>
      <w:r>
        <w:fldChar w:fldCharType="end"/>
      </w:r>
      <w:bookmarkEnd w:id="142"/>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3" w:name="__Fieldmark__1206_362668386"/>
      <w:r>
        <w:rPr>
          <w:rFonts w:cs="Calibri"/>
        </w:rPr>
        <w:t>(Sachs et al., 2019)</w:t>
      </w:r>
      <w:r>
        <w:fldChar w:fldCharType="end"/>
      </w:r>
      <w:bookmarkEnd w:id="143"/>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144" w:name="__Fieldmark__1213_362668386"/>
      <w:r>
        <w:rPr>
          <w:rFonts w:cs="Calibri"/>
        </w:rPr>
        <w:t>(Huwyler et al., 2016)</w:t>
      </w:r>
      <w:r>
        <w:fldChar w:fldCharType="end"/>
      </w:r>
      <w:bookmarkEnd w:id="144"/>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5" w:name="__Fieldmark__1218_362668386"/>
      <w:r>
        <w:rPr>
          <w:rFonts w:cs="Calibri"/>
        </w:rPr>
        <w:t>(Sachs et al., 2019)</w:t>
      </w:r>
      <w:r>
        <w:fldChar w:fldCharType="end"/>
      </w:r>
      <w:bookmarkEnd w:id="145"/>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6" w:name="__Fieldmark__1223_362668386"/>
      <w:r>
        <w:rPr>
          <w:rFonts w:cs="Calibri"/>
        </w:rPr>
        <w:t>(Sachs et al., 2019)</w:t>
      </w:r>
      <w:r>
        <w:fldChar w:fldCharType="end"/>
      </w:r>
      <w:bookmarkEnd w:id="146"/>
      <w:r>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47" w:name="__Fieldmark__1232_362668386"/>
      <w:r>
        <w:rPr>
          <w:rFonts w:cs="Calibri"/>
        </w:rPr>
        <w:t>(Kaiser, 2015)</w:t>
      </w:r>
      <w:r>
        <w:fldChar w:fldCharType="end"/>
      </w:r>
      <w:bookmarkEnd w:id="147"/>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w:t>
      </w:r>
      <w:commentRangeStart w:id="148"/>
      <w:r>
        <w:t>and partnerships to unlock the private</w:t>
      </w:r>
      <w:commentRangeEnd w:id="148"/>
      <w:r>
        <w:commentReference w:id="148"/>
      </w:r>
      <w:r>
        <w:t xml:space="preserve"> sector and leverage such funding within the private sector investment framework. </w:t>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Duthie" w:date="2021-09-22T22:34:00Z" w:initials="BD">
    <w:p w14:paraId="6915FAB5" w14:textId="77777777" w:rsidR="0089199E" w:rsidRDefault="0089199E">
      <w:r>
        <w:rPr>
          <w:rFonts w:ascii="Calibri" w:hAnsi="Calibri"/>
          <w:sz w:val="20"/>
        </w:rPr>
        <w:t xml:space="preserve">I think that the introduction is well written and nicely sets the stage for the model. My comments here are probably going to be quite minimal for a thesis chapter, but I’ll have more for if/when this gets reworked for a manuscript to be submitted somewhere. </w:t>
      </w:r>
      <w:proofErr w:type="gramStart"/>
      <w:r>
        <w:rPr>
          <w:rFonts w:ascii="Calibri" w:hAnsi="Calibri"/>
          <w:sz w:val="20"/>
        </w:rPr>
        <w:t>Obviously</w:t>
      </w:r>
      <w:proofErr w:type="gramEnd"/>
      <w:r>
        <w:rPr>
          <w:rFonts w:ascii="Calibri" w:hAnsi="Calibri"/>
          <w:sz w:val="20"/>
        </w:rPr>
        <w:t xml:space="preserve"> the writing would need to be condensed, and I think made much more concise in some places.</w:t>
      </w:r>
    </w:p>
  </w:comment>
  <w:comment w:id="10"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1" w:author="Matthew Nuttall" w:date="2021-09-29T14:51:00Z" w:initials="MN">
    <w:p w14:paraId="105A5050" w14:textId="6FA11A81" w:rsidR="006F0A98" w:rsidRDefault="006F0A98">
      <w:pPr>
        <w:pStyle w:val="CommentText"/>
      </w:pPr>
      <w:r>
        <w:rPr>
          <w:rStyle w:val="CommentReference"/>
        </w:rPr>
        <w:annotationRef/>
      </w:r>
      <w:r>
        <w:t>I mention the gap in the literature in the first sentence of the paragraph. Do you think I should move it to the end?</w:t>
      </w:r>
    </w:p>
  </w:comment>
  <w:comment w:id="44"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7" w:author="Brad Duthie" w:date="2021-09-22T22:40:00Z" w:initials="BD">
    <w:p w14:paraId="29E272D9" w14:textId="77777777" w:rsidR="0089199E" w:rsidRDefault="0089199E">
      <w:r>
        <w:rPr>
          <w:rFonts w:ascii="Calibri" w:hAnsi="Calibri"/>
          <w:sz w:val="20"/>
        </w:rPr>
        <w:t>I think that the stochasticity is more caused by the fact that the individuals themselves are discrete and events are probabilistic, as opposed to a population model where fractions of individuals are possible and events occur in a fixed proportion of the population (e.g., death) rather than probabilistically with some variation around an expectation.</w:t>
      </w:r>
    </w:p>
  </w:comment>
  <w:comment w:id="49" w:author="Brad Duthie" w:date="2021-09-22T22:43:00Z" w:initials="BD">
    <w:p w14:paraId="6F5CC0F3" w14:textId="77777777" w:rsidR="0089199E" w:rsidRDefault="0089199E">
      <w:r>
        <w:rPr>
          <w:rFonts w:ascii="Calibri" w:hAnsi="Calibri"/>
          <w:sz w:val="20"/>
        </w:rPr>
        <w:t xml:space="preserve">This is accurate for the most recent version of GMSE, but maybe not so relevant to state here? In general, I think it’s better to have the methods be </w:t>
      </w:r>
      <w:proofErr w:type="spellStart"/>
      <w:r>
        <w:rPr>
          <w:rFonts w:ascii="Calibri" w:hAnsi="Calibri"/>
          <w:sz w:val="20"/>
        </w:rPr>
        <w:t>model led</w:t>
      </w:r>
      <w:proofErr w:type="spellEnd"/>
      <w:r>
        <w:rPr>
          <w:rFonts w:ascii="Calibri" w:hAnsi="Calibri"/>
          <w:sz w:val="20"/>
        </w:rPr>
        <w:t xml:space="preserve"> rather than software led. That is, it’s not </w:t>
      </w:r>
      <w:proofErr w:type="gramStart"/>
      <w:r>
        <w:rPr>
          <w:rFonts w:ascii="Calibri" w:hAnsi="Calibri"/>
          <w:sz w:val="20"/>
        </w:rPr>
        <w:t>really important</w:t>
      </w:r>
      <w:proofErr w:type="gramEnd"/>
      <w:r>
        <w:rPr>
          <w:rFonts w:ascii="Calibri" w:hAnsi="Calibri"/>
          <w:sz w:val="20"/>
        </w:rPr>
        <w:t xml:space="preserve"> what the software can do per se, but rather when your model does (and you can just cite GMSE as the software that enabled you do get the model running successfully).</w:t>
      </w:r>
    </w:p>
  </w:comment>
  <w:comment w:id="54" w:author="Brad Duthie" w:date="2021-09-22T22:46:00Z" w:initials="BD">
    <w:p w14:paraId="54632D7A" w14:textId="77777777" w:rsidR="0089199E" w:rsidRDefault="0089199E">
      <w:r>
        <w:rPr>
          <w:rFonts w:eastAsia="Calibri"/>
          <w:sz w:val="20"/>
        </w:rPr>
        <w:t>I would probably say that the relative power between the manager and users is primarily driven by the relative budgets of each. The absolute budgets do have some relevance (e.g., since there is a minimum cost on actions, a user with a budget of 9 will never be able to do anything).</w:t>
      </w:r>
    </w:p>
  </w:comment>
  <w:comment w:id="56" w:author="Brad Duthie" w:date="2021-09-22T22:51:00Z" w:initials="BD">
    <w:p w14:paraId="7BD47D41" w14:textId="77777777" w:rsidR="0089199E" w:rsidRDefault="0089199E">
      <w:r>
        <w:rPr>
          <w:rFonts w:ascii="Calibri" w:hAnsi="Calibri"/>
          <w:sz w:val="20"/>
        </w:rPr>
        <w:t xml:space="preserve">Should this be 2021, </w:t>
      </w:r>
      <w:proofErr w:type="spellStart"/>
      <w:r>
        <w:rPr>
          <w:rFonts w:ascii="Calibri" w:hAnsi="Calibri"/>
          <w:sz w:val="20"/>
        </w:rPr>
        <w:t>Lovisa’s</w:t>
      </w:r>
      <w:proofErr w:type="spellEnd"/>
      <w:r>
        <w:rPr>
          <w:rFonts w:ascii="Calibri" w:hAnsi="Calibri"/>
          <w:sz w:val="20"/>
        </w:rPr>
        <w:t xml:space="preserve"> </w:t>
      </w:r>
      <w:proofErr w:type="spellStart"/>
      <w:r>
        <w:rPr>
          <w:rFonts w:ascii="Calibri" w:hAnsi="Calibri"/>
          <w:sz w:val="20"/>
        </w:rPr>
        <w:t>Ecol</w:t>
      </w:r>
      <w:proofErr w:type="spellEnd"/>
      <w:r>
        <w:rPr>
          <w:rFonts w:ascii="Calibri" w:hAnsi="Calibri"/>
          <w:sz w:val="20"/>
        </w:rPr>
        <w:t xml:space="preserve"> Modell paper?</w:t>
      </w:r>
    </w:p>
  </w:comment>
  <w:comment w:id="57" w:author="Brad Duthie" w:date="2021-09-22T22:56:00Z" w:initials="BD">
    <w:p w14:paraId="21D621F3" w14:textId="77777777" w:rsidR="0089199E" w:rsidRDefault="0089199E">
      <w:r>
        <w:rPr>
          <w:rFonts w:ascii="Calibri" w:hAnsi="Calibri"/>
          <w:sz w:val="20"/>
        </w:rPr>
        <w:t>This is good overall, but just a bit more detail might be necessary to explain what’s going on?</w:t>
      </w:r>
    </w:p>
  </w:comment>
  <w:comment w:id="60" w:author="Brad Duthie" w:date="2021-09-22T22:52:00Z" w:initials="BD">
    <w:p w14:paraId="2EE11A28" w14:textId="77777777" w:rsidR="0089199E" w:rsidRDefault="0089199E">
      <w:r>
        <w:rPr>
          <w:rFonts w:ascii="Calibri" w:hAnsi="Calibri"/>
          <w:sz w:val="20"/>
        </w:rPr>
        <w:t xml:space="preserve">I think more explanation is needed to give readers an intuitive idea of what is going on. Could also reference the vignette on the subject: </w:t>
      </w:r>
      <w:hyperlink r:id="rId1"/>
      <w:r>
        <w:rPr>
          <w:rFonts w:ascii="Calibri" w:hAnsi="Calibri"/>
          <w:sz w:val="20"/>
        </w:rPr>
        <w:t xml:space="preserve"> Also Hamblin 2013 MEE cited therein.</w:t>
      </w:r>
    </w:p>
  </w:comment>
  <w:comment w:id="61" w:author="Brad Duthie" w:date="2021-09-22T22:55:00Z" w:initials="BD">
    <w:p w14:paraId="0CB530D3" w14:textId="77777777" w:rsidR="0089199E" w:rsidRDefault="0089199E">
      <w:r>
        <w:rPr>
          <w:rFonts w:ascii="Calibri" w:hAnsi="Calibri"/>
          <w:sz w:val="20"/>
        </w:rPr>
        <w:t xml:space="preserve">Note that in each generation of the genetic algorithm, crossover, mutation, and selection are all always run. This might need to be </w:t>
      </w:r>
      <w:proofErr w:type="gramStart"/>
      <w:r>
        <w:rPr>
          <w:rFonts w:ascii="Calibri" w:hAnsi="Calibri"/>
          <w:sz w:val="20"/>
        </w:rPr>
        <w:t>rephrased?</w:t>
      </w:r>
      <w:proofErr w:type="gramEnd"/>
    </w:p>
  </w:comment>
  <w:comment w:id="63" w:author="Matthew Nuttall" w:date="2021-08-25T10:49:00Z" w:initials="MN">
    <w:p w14:paraId="1E1EBC49" w14:textId="77777777" w:rsidR="0089199E" w:rsidRDefault="0089199E">
      <w:r>
        <w:rPr>
          <w:rFonts w:ascii="Liberation Serif" w:eastAsia="DejaVu Sans" w:hAnsi="Liberation Serif" w:cs="DejaVu Sans"/>
          <w:sz w:val="24"/>
          <w:szCs w:val="24"/>
          <w:lang w:val="en-US" w:bidi="en-US"/>
        </w:rPr>
        <w:t>Is it ok to simply steal this diagram? I can’t really see the point in remaking it…</w:t>
      </w:r>
    </w:p>
  </w:comment>
  <w:comment w:id="65" w:author="Brad Duthie" w:date="2021-09-22T22:56:00Z" w:initials="BD">
    <w:p w14:paraId="1C2A07C0" w14:textId="77777777" w:rsidR="0089199E" w:rsidRDefault="0089199E">
      <w:r>
        <w:rPr>
          <w:rFonts w:ascii="Calibri" w:hAnsi="Calibri"/>
          <w:i/>
          <w:sz w:val="16"/>
        </w:rPr>
        <w:t>Reply to Matthew Nuttall (25/08/2021, 10:49): "..."</w:t>
      </w:r>
    </w:p>
    <w:p w14:paraId="13781251" w14:textId="77777777" w:rsidR="0089199E" w:rsidRDefault="0089199E">
      <w:r>
        <w:rPr>
          <w:rFonts w:ascii="Liberation Serif" w:eastAsia="DejaVu Sans" w:hAnsi="Liberation Serif" w:cs="DejaVu Sans"/>
          <w:sz w:val="20"/>
          <w:szCs w:val="24"/>
        </w:rPr>
        <w:t>It doesn’t bother me, especially given the clear citation. The only reason I can think to change it would be if you wanted to customise it to be more specific to your model.</w:t>
      </w:r>
    </w:p>
  </w:comment>
  <w:comment w:id="66" w:author="Nils Bunnefeld" w:date="2021-09-23T10:18:00Z" w:initials="NB">
    <w:p w14:paraId="100BAD5B" w14:textId="2A810847" w:rsidR="0089199E" w:rsidRDefault="0089199E">
      <w:pPr>
        <w:pStyle w:val="CommentText"/>
      </w:pPr>
      <w:r>
        <w:rPr>
          <w:rStyle w:val="CommentReference"/>
        </w:rPr>
        <w:annotationRef/>
      </w:r>
      <w:r>
        <w:t>Again, if you have time, it would be great to customise it. It’s very generic, which is in many publications now, but it’s the application to deforestation that is of interest here.</w:t>
      </w:r>
    </w:p>
  </w:comment>
  <w:comment w:id="70" w:author="Brad Duthie" w:date="2021-09-22T22:58:00Z" w:initials="BD">
    <w:p w14:paraId="00635E6F" w14:textId="77777777" w:rsidR="0089199E" w:rsidRDefault="0089199E">
      <w:r>
        <w:rPr>
          <w:rFonts w:ascii="Calibri" w:hAnsi="Calibri"/>
          <w:sz w:val="20"/>
        </w:rPr>
        <w:t xml:space="preserve">Note that GMSE cannot split cells and will round where it needs to </w:t>
      </w:r>
      <w:proofErr w:type="spellStart"/>
      <w:r>
        <w:rPr>
          <w:rFonts w:ascii="Calibri" w:hAnsi="Calibri"/>
          <w:sz w:val="20"/>
        </w:rPr>
        <w:t>to</w:t>
      </w:r>
      <w:proofErr w:type="spellEnd"/>
      <w:r>
        <w:rPr>
          <w:rFonts w:ascii="Calibri" w:hAnsi="Calibri"/>
          <w:sz w:val="20"/>
        </w:rPr>
        <w:t xml:space="preserve"> attempting to create a balance among farm sizes. It does this using a shortest-</w:t>
      </w:r>
      <w:proofErr w:type="spellStart"/>
      <w:r>
        <w:rPr>
          <w:rFonts w:ascii="Calibri" w:hAnsi="Calibri"/>
          <w:sz w:val="20"/>
        </w:rPr>
        <w:t>splitline</w:t>
      </w:r>
      <w:proofErr w:type="spellEnd"/>
      <w:r>
        <w:rPr>
          <w:rFonts w:ascii="Calibri" w:hAnsi="Calibri"/>
          <w:sz w:val="20"/>
        </w:rPr>
        <w:t xml:space="preserve"> algorithm, which could result in imperfect divisions among farm sizes. Details on the algorithm can be found in the GMSE lab notebook here: </w:t>
      </w:r>
      <w:hyperlink r:id="rId2" w:anchor="u-10-MAY-2020" w:history="1"/>
    </w:p>
    <w:p w14:paraId="7F2A73DB" w14:textId="77777777" w:rsidR="0089199E" w:rsidRDefault="0089199E"/>
  </w:comment>
  <w:comment w:id="71" w:author="Brad Duthie" w:date="2021-09-22T23:06:00Z" w:initials="BD">
    <w:p w14:paraId="1AAB86DB" w14:textId="77777777" w:rsidR="0089199E" w:rsidRDefault="0089199E">
      <w:r>
        <w:rPr>
          <w:rFonts w:ascii="Calibri" w:hAnsi="Calibri"/>
          <w:sz w:val="20"/>
        </w:rPr>
        <w:t>It seems obvious, but probably best to note that more than one tree can exist on a single landscape cell.</w:t>
      </w:r>
    </w:p>
  </w:comment>
  <w:comment w:id="72" w:author="Brad Duthie" w:date="2021-09-22T23:07:00Z" w:initials="BD">
    <w:p w14:paraId="41614FCF" w14:textId="77777777" w:rsidR="0089199E" w:rsidRDefault="0089199E">
      <w:r>
        <w:rPr>
          <w:rFonts w:ascii="Calibri" w:hAnsi="Calibri"/>
          <w:sz w:val="20"/>
        </w:rPr>
        <w:t>I think that several parts of this subsection can probably be condensed</w:t>
      </w:r>
    </w:p>
  </w:comment>
  <w:comment w:id="74" w:author="Brad Duthie" w:date="2021-09-22T23:08:00Z" w:initials="BD">
    <w:p w14:paraId="4D3F8048" w14:textId="77777777" w:rsidR="0089199E" w:rsidRDefault="0089199E">
      <w:r>
        <w:rPr>
          <w:rFonts w:ascii="Calibri" w:hAnsi="Calibri"/>
          <w:sz w:val="20"/>
        </w:rPr>
        <w:t xml:space="preserve">This is all correct, but probably not necessary to explain. It’s </w:t>
      </w:r>
      <w:proofErr w:type="gramStart"/>
      <w:r>
        <w:rPr>
          <w:rFonts w:ascii="Calibri" w:hAnsi="Calibri"/>
          <w:sz w:val="20"/>
        </w:rPr>
        <w:t>really more</w:t>
      </w:r>
      <w:proofErr w:type="gramEnd"/>
      <w:r>
        <w:rPr>
          <w:rFonts w:ascii="Calibri" w:hAnsi="Calibri"/>
          <w:sz w:val="20"/>
        </w:rPr>
        <w:t xml:space="preserve"> a part of the software than the model.</w:t>
      </w:r>
    </w:p>
  </w:comment>
  <w:comment w:id="77" w:author="Brad Duthie" w:date="2021-09-22T23:10:00Z" w:initials="BD">
    <w:p w14:paraId="182919F5" w14:textId="77777777" w:rsidR="0089199E" w:rsidRDefault="0089199E">
      <w:r>
        <w:rPr>
          <w:rFonts w:ascii="Calibri" w:hAnsi="Calibri"/>
          <w:sz w:val="20"/>
        </w:rPr>
        <w:t>Shouldn’t this be the median? I think that the arithmetic mean would be good to report too though.</w:t>
      </w:r>
    </w:p>
  </w:comment>
  <w:comment w:id="81" w:author="Brad Duthie" w:date="2021-09-22T23:11:00Z" w:initials="BD">
    <w:p w14:paraId="7BD590A3" w14:textId="77777777" w:rsidR="0089199E" w:rsidRDefault="0089199E">
      <w:r>
        <w:rPr>
          <w:rFonts w:ascii="Calibri" w:hAnsi="Calibri"/>
          <w:sz w:val="20"/>
        </w:rPr>
        <w:t xml:space="preserve">I’m not sure if this is necessary since the inverse </w:t>
      </w:r>
      <w:proofErr w:type="spellStart"/>
      <w:r>
        <w:rPr>
          <w:rFonts w:ascii="Calibri" w:hAnsi="Calibri"/>
          <w:sz w:val="20"/>
        </w:rPr>
        <w:t>Fourrier</w:t>
      </w:r>
      <w:proofErr w:type="spellEnd"/>
      <w:r>
        <w:rPr>
          <w:rFonts w:ascii="Calibri" w:hAnsi="Calibri"/>
          <w:sz w:val="20"/>
        </w:rPr>
        <w:t xml:space="preserve"> has been around for so long. I think you would probably need to cite a textbook.</w:t>
      </w:r>
    </w:p>
  </w:comment>
  <w:comment w:id="82" w:author="Matthew Nuttall" w:date="2021-08-26T10:25:00Z" w:initials="MN">
    <w:p w14:paraId="4B1AA5BD" w14:textId="77777777" w:rsidR="0089199E" w:rsidRDefault="0089199E">
      <w:r>
        <w:rPr>
          <w:rFonts w:ascii="Liberation Serif" w:eastAsia="DejaVu Sans" w:hAnsi="Liberation Serif" w:cs="DejaVu Sans"/>
          <w:sz w:val="24"/>
          <w:szCs w:val="24"/>
          <w:lang w:val="en-US" w:bidi="en-US"/>
        </w:rPr>
        <w:t>I don’t have much experience writing out formulae, so please let me know if this is not correct!</w:t>
      </w:r>
    </w:p>
    <w:p w14:paraId="58552C7C" w14:textId="77777777" w:rsidR="0089199E" w:rsidRDefault="0089199E"/>
    <w:p w14:paraId="56986F4E" w14:textId="77777777" w:rsidR="0089199E" w:rsidRDefault="0089199E">
      <w:r>
        <w:rPr>
          <w:rFonts w:ascii="Liberation Serif" w:eastAsia="DejaVu Sans" w:hAnsi="Liberation Serif" w:cs="DejaVu Sans"/>
          <w:sz w:val="24"/>
          <w:szCs w:val="24"/>
          <w:lang w:val="en-US" w:bidi="en-US"/>
        </w:rPr>
        <w:t>In R it looks like this:</w:t>
      </w:r>
    </w:p>
    <w:p w14:paraId="30F2F082" w14:textId="77777777" w:rsidR="0089199E" w:rsidRDefault="0089199E">
      <w:proofErr w:type="spellStart"/>
      <w:r>
        <w:rPr>
          <w:rFonts w:ascii="Liberation Serif" w:eastAsia="DejaVu Sans" w:hAnsi="Liberation Serif" w:cs="DejaVu Sans"/>
          <w:sz w:val="24"/>
          <w:szCs w:val="24"/>
          <w:lang w:val="en-US" w:bidi="en-US"/>
        </w:rPr>
        <w:t>dc.component</w:t>
      </w:r>
      <w:proofErr w:type="spellEnd"/>
      <w:r>
        <w:rPr>
          <w:rFonts w:ascii="Liberation Serif" w:eastAsia="DejaVu Sans" w:hAnsi="Liberation Serif" w:cs="DejaVu Sans"/>
          <w:sz w:val="24"/>
          <w:szCs w:val="24"/>
          <w:lang w:val="en-US" w:bidi="en-US"/>
        </w:rPr>
        <w:t xml:space="preserve"> + </w:t>
      </w:r>
      <w:proofErr w:type="gramStart"/>
      <w:r>
        <w:rPr>
          <w:rFonts w:ascii="Liberation Serif" w:eastAsia="DejaVu Sans" w:hAnsi="Liberation Serif" w:cs="DejaVu Sans"/>
          <w:sz w:val="24"/>
          <w:szCs w:val="24"/>
          <w:lang w:val="en-US" w:bidi="en-US"/>
        </w:rPr>
        <w:t>sum( cs</w:t>
      </w:r>
      <w:proofErr w:type="gramEnd"/>
      <w:r>
        <w:rPr>
          <w:rFonts w:ascii="Liberation Serif" w:eastAsia="DejaVu Sans" w:hAnsi="Liberation Serif" w:cs="DejaVu Sans"/>
          <w:sz w:val="24"/>
          <w:szCs w:val="24"/>
          <w:lang w:val="en-US" w:bidi="en-US"/>
        </w:rPr>
        <w:t xml:space="preserve"> * sin(</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*w*t + cd))</w:t>
      </w:r>
    </w:p>
  </w:comment>
  <w:comment w:id="86" w:author="Brad Duthie" w:date="2021-09-22T23:17:00Z" w:initials="BD">
    <w:p w14:paraId="730177A7" w14:textId="77777777" w:rsidR="0089199E" w:rsidRDefault="0089199E">
      <w:r>
        <w:rPr>
          <w:rFonts w:ascii="Calibri" w:hAnsi="Calibri"/>
          <w:i/>
          <w:sz w:val="16"/>
        </w:rPr>
        <w:t>Reply to Matthew Nuttall (26/08/2021, 10:25): "..."</w:t>
      </w:r>
    </w:p>
    <w:p w14:paraId="1A582600" w14:textId="77777777" w:rsidR="0089199E" w:rsidRDefault="0089199E">
      <w:r>
        <w:rPr>
          <w:rFonts w:ascii="Liberation Serif" w:eastAsia="DejaVu Sans" w:hAnsi="Liberation Serif" w:cs="DejaVu Sans"/>
          <w:sz w:val="20"/>
          <w:szCs w:val="24"/>
        </w:rPr>
        <w:t xml:space="preserve">Can you explain which of the variables in the summation are constant versus changing? From the notation, it’s not </w:t>
      </w:r>
      <w:proofErr w:type="gramStart"/>
      <w:r>
        <w:rPr>
          <w:rFonts w:ascii="Liberation Serif" w:eastAsia="DejaVu Sans" w:hAnsi="Liberation Serif" w:cs="DejaVu Sans"/>
          <w:sz w:val="20"/>
          <w:szCs w:val="24"/>
        </w:rPr>
        <w:t>really clear</w:t>
      </w:r>
      <w:proofErr w:type="gramEnd"/>
      <w:r>
        <w:rPr>
          <w:rFonts w:ascii="Liberation Serif" w:eastAsia="DejaVu Sans" w:hAnsi="Liberation Serif" w:cs="DejaVu Sans"/>
          <w:sz w:val="20"/>
          <w:szCs w:val="24"/>
        </w:rPr>
        <w:t xml:space="preserve"> what you’re summing over. Is this summed over time steps, with one or more of the variables changing from one time step to the next?</w:t>
      </w:r>
    </w:p>
  </w:comment>
  <w:comment w:id="88"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3"/>
      <w:r>
        <w:rPr>
          <w:rFonts w:ascii="Calibri" w:hAnsi="Calibri"/>
          <w:sz w:val="20"/>
        </w:rPr>
        <w:t xml:space="preserve"> </w:t>
      </w:r>
    </w:p>
  </w:comment>
  <w:comment w:id="93" w:author="Brad Duthie" w:date="2021-09-22T23:20:00Z" w:initials="BD">
    <w:p w14:paraId="6FD3E881" w14:textId="77777777" w:rsidR="0089199E" w:rsidRDefault="0089199E">
      <w:r>
        <w:rPr>
          <w:rFonts w:ascii="Calibri" w:hAnsi="Calibri"/>
          <w:sz w:val="20"/>
        </w:rPr>
        <w:t>I think that this is probably good to mention earlier.</w:t>
      </w:r>
    </w:p>
  </w:comment>
  <w:comment w:id="99" w:author="Brad Duthie" w:date="2021-09-22T23:22:00Z" w:initials="BD">
    <w:p w14:paraId="2F8B9B6B" w14:textId="77777777" w:rsidR="0089199E" w:rsidRDefault="0089199E">
      <w:r>
        <w:rPr>
          <w:rFonts w:ascii="Calibri" w:hAnsi="Calibri"/>
          <w:sz w:val="20"/>
        </w:rPr>
        <w:t xml:space="preserve">I don’t think </w:t>
      </w:r>
      <w:proofErr w:type="gramStart"/>
      <w:r>
        <w:rPr>
          <w:rFonts w:ascii="Calibri" w:hAnsi="Calibri"/>
          <w:sz w:val="20"/>
        </w:rPr>
        <w:t>all of</w:t>
      </w:r>
      <w:proofErr w:type="gramEnd"/>
      <w:r>
        <w:rPr>
          <w:rFonts w:ascii="Calibri" w:hAnsi="Calibri"/>
          <w:sz w:val="20"/>
        </w:rPr>
        <w:t xml:space="preserve"> these table columns are necessary since three do not change at all. You could just state the values in the legend.</w:t>
      </w:r>
    </w:p>
  </w:comment>
  <w:comment w:id="101"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102" w:author="Nils Bunnefeld" w:date="2021-09-23T10:25:00Z" w:initials="NB">
    <w:p w14:paraId="33274B7C" w14:textId="46255BFE" w:rsidR="0089199E" w:rsidRDefault="0089199E">
      <w:pPr>
        <w:pStyle w:val="CommentText"/>
      </w:pPr>
      <w:r>
        <w:rPr>
          <w:rStyle w:val="CommentReference"/>
        </w:rPr>
        <w:annotationRef/>
      </w:r>
      <w:r>
        <w:t xml:space="preserve">I don’t think you want to use the word extinction here, because it is the GMSE language that comes from a focus on animal populations when GMSE was first created. I would go through the entire chapter and just call it complete forest loss or 100% forest loss. I think it is </w:t>
      </w:r>
      <w:proofErr w:type="gramStart"/>
      <w:r>
        <w:t>really important</w:t>
      </w:r>
      <w:proofErr w:type="gramEnd"/>
      <w:r>
        <w:t xml:space="preserve"> not to confuse the reader with terminology that is normally used in a different context. </w:t>
      </w:r>
    </w:p>
  </w:comment>
  <w:comment w:id="103" w:author="Nils Bunnefeld" w:date="2021-09-23T10:27:00Z" w:initials="NB">
    <w:p w14:paraId="2246F8BD" w14:textId="516F9C5C" w:rsidR="0089199E" w:rsidRDefault="0089199E">
      <w:pPr>
        <w:pStyle w:val="CommentText"/>
      </w:pPr>
      <w:r>
        <w:rPr>
          <w:rStyle w:val="CommentReference"/>
        </w:rPr>
        <w:annotationRef/>
      </w:r>
      <w:r>
        <w:t xml:space="preserve">Again, extinction makes little sense here, complete forest loss describes the situation much better. </w:t>
      </w:r>
    </w:p>
  </w:comment>
  <w:comment w:id="110" w:author="Brad Duthie" w:date="2021-09-22T23:24:00Z" w:initials="BD">
    <w:p w14:paraId="480D327F" w14:textId="77777777" w:rsidR="0089199E" w:rsidRDefault="0089199E">
      <w:r>
        <w:rPr>
          <w:rFonts w:ascii="Calibri" w:hAnsi="Calibri"/>
          <w:sz w:val="20"/>
        </w:rPr>
        <w:t>Required for what? I think this needs to be more specific.</w:t>
      </w:r>
    </w:p>
  </w:comment>
  <w:comment w:id="113" w:author="Brad Duthie" w:date="2021-09-22T23:24:00Z" w:initials="BD">
    <w:p w14:paraId="3D571A5D" w14:textId="77777777" w:rsidR="0089199E" w:rsidRDefault="0089199E">
      <w:r>
        <w:rPr>
          <w:rFonts w:ascii="Calibri" w:hAnsi="Calibri"/>
          <w:sz w:val="20"/>
        </w:rPr>
        <w:t>I would avoid saying that quantitative evidence has been provided. I think empirical data would need to be able to make that claim. Rather, your model clarifies some key concepts and makes our thinking about these issues clearer. Consequently, you’ve provided some valuable theoretical insight that can inform conservation strategy and future hypothesis testing and data collection.</w:t>
      </w:r>
    </w:p>
  </w:comment>
  <w:comment w:id="115" w:author="Nils Bunnefeld" w:date="2021-09-23T10:38:00Z" w:initials="NB">
    <w:p w14:paraId="51D97AB3" w14:textId="77777777" w:rsidR="0089199E" w:rsidRDefault="0089199E">
      <w:pPr>
        <w:pStyle w:val="CommentText"/>
      </w:pPr>
      <w:r>
        <w:rPr>
          <w:rStyle w:val="CommentReference"/>
        </w:rPr>
        <w:annotationRef/>
      </w:r>
      <w:r>
        <w:t xml:space="preserve">Id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116" w:author="Brad Duthie" w:date="2021-09-22T23:27:00Z" w:initials="BD">
    <w:p w14:paraId="519B2EA9" w14:textId="77777777" w:rsidR="0089199E" w:rsidRDefault="0089199E">
      <w:r>
        <w:rPr>
          <w:rFonts w:ascii="Calibri" w:hAnsi="Calibri"/>
          <w:sz w:val="20"/>
        </w:rPr>
        <w:t xml:space="preserve">I would avoid stating that this is the optimal approach. Rather, it is the best approach among the different scenarios that you considered. To truly demonstrate that it is optimal (in a technical sense) would involve a hefty proof that the stable budget situation cannot be improved by any other possible approach. </w:t>
      </w:r>
    </w:p>
  </w:comment>
  <w:comment w:id="121" w:author="Brad Duthie" w:date="2021-09-22T23:29:00Z" w:initials="BD">
    <w:p w14:paraId="4959F12C" w14:textId="77777777" w:rsidR="0089199E" w:rsidRDefault="0089199E">
      <w:r>
        <w:rPr>
          <w:rFonts w:ascii="Calibri" w:hAnsi="Calibri"/>
          <w:sz w:val="20"/>
        </w:rPr>
        <w:t>It might be worth acknowledging some assumptions that are being made about the timescale at which events occur in the model?</w:t>
      </w:r>
    </w:p>
  </w:comment>
  <w:comment w:id="122"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137" w:author="Matthew Nuttall" w:date="2021-09-29T08:35:00Z" w:initials="MN">
    <w:p w14:paraId="0670CF55" w14:textId="49BBD59D" w:rsidR="00873FEF" w:rsidRDefault="00873FEF">
      <w:pPr>
        <w:pStyle w:val="CommentText"/>
      </w:pPr>
      <w:r>
        <w:rPr>
          <w:rStyle w:val="CommentReference"/>
        </w:rPr>
        <w:annotationRef/>
      </w:r>
      <w:r>
        <w:t xml:space="preserve">Re-word this. Take away the emphasis that it’s the most promising. Just discuss as promising and under used. </w:t>
      </w:r>
    </w:p>
  </w:comment>
  <w:comment w:id="138" w:author="Brad Duthie" w:date="2021-09-22T23:30:00Z" w:initials="BD">
    <w:p w14:paraId="1A85EE6B" w14:textId="77777777" w:rsidR="0089199E" w:rsidRDefault="0089199E">
      <w:r>
        <w:rPr>
          <w:rFonts w:ascii="Calibri" w:hAnsi="Calibri"/>
          <w:sz w:val="20"/>
        </w:rPr>
        <w:t xml:space="preserve">Is this really the source that is likely to be most stable, as you found to be critical in your results? If this is the case, then I think it needs to be argued more clearly. My impression would have been the opposite – that private finance would be ultimately less stable than government finance due to </w:t>
      </w:r>
      <w:proofErr w:type="spellStart"/>
      <w:r>
        <w:rPr>
          <w:rFonts w:ascii="Calibri" w:hAnsi="Calibri"/>
          <w:sz w:val="20"/>
        </w:rPr>
        <w:t>shor</w:t>
      </w:r>
      <w:proofErr w:type="spellEnd"/>
      <w:r>
        <w:rPr>
          <w:rFonts w:ascii="Calibri" w:hAnsi="Calibri"/>
          <w:sz w:val="20"/>
        </w:rPr>
        <w:t xml:space="preserve">-term effects of market forces or business decisions. I don’t </w:t>
      </w:r>
      <w:proofErr w:type="gramStart"/>
      <w:r>
        <w:rPr>
          <w:rFonts w:ascii="Calibri" w:hAnsi="Calibri"/>
          <w:sz w:val="20"/>
        </w:rPr>
        <w:t>actually know</w:t>
      </w:r>
      <w:proofErr w:type="gramEnd"/>
      <w:r>
        <w:rPr>
          <w:rFonts w:ascii="Calibri" w:hAnsi="Calibri"/>
          <w:sz w:val="20"/>
        </w:rPr>
        <w:t xml:space="preserve"> anything about this, so it’s entirely possible I’m way off, but the logic for why private finance is the most promising avenue isn’t clear to me after reading the remainder of this chapter. Can’t public funding for resources be maintained longer ultimately, even operating at a financial loss?</w:t>
      </w:r>
    </w:p>
  </w:comment>
  <w:comment w:id="148" w:author="Brad Duthie" w:date="2021-09-22T23:35:00Z" w:initials="BD">
    <w:p w14:paraId="1F1832A6" w14:textId="77777777" w:rsidR="0089199E" w:rsidRDefault="0089199E">
      <w:r>
        <w:rPr>
          <w:rFonts w:ascii="Calibri" w:hAnsi="Calibri"/>
          <w:sz w:val="20"/>
        </w:rPr>
        <w:t>This still isn’t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5FAB5" w15:done="0"/>
  <w15:commentEx w15:paraId="61F493C1" w15:done="0"/>
  <w15:commentEx w15:paraId="105A5050" w15:paraIdParent="61F493C1" w15:done="0"/>
  <w15:commentEx w15:paraId="031BE8CD" w15:done="0"/>
  <w15:commentEx w15:paraId="29E272D9" w15:done="0"/>
  <w15:commentEx w15:paraId="6F5CC0F3" w15:done="0"/>
  <w15:commentEx w15:paraId="54632D7A" w15:done="0"/>
  <w15:commentEx w15:paraId="7BD47D41" w15:done="0"/>
  <w15:commentEx w15:paraId="21D621F3" w15:done="0"/>
  <w15:commentEx w15:paraId="2EE11A28" w15:done="0"/>
  <w15:commentEx w15:paraId="0CB530D3" w15:done="0"/>
  <w15:commentEx w15:paraId="1E1EBC49" w15:done="0"/>
  <w15:commentEx w15:paraId="13781251" w15:done="0"/>
  <w15:commentEx w15:paraId="100BAD5B" w15:paraIdParent="13781251" w15:done="0"/>
  <w15:commentEx w15:paraId="7F2A73DB" w15:done="0"/>
  <w15:commentEx w15:paraId="1AAB86DB" w15:done="0"/>
  <w15:commentEx w15:paraId="41614FCF" w15:done="0"/>
  <w15:commentEx w15:paraId="4D3F8048" w15:done="0"/>
  <w15:commentEx w15:paraId="182919F5" w15:done="0"/>
  <w15:commentEx w15:paraId="7BD590A3" w15:done="0"/>
  <w15:commentEx w15:paraId="30F2F082" w15:done="0"/>
  <w15:commentEx w15:paraId="1A582600" w15:done="0"/>
  <w15:commentEx w15:paraId="42B689DE" w15:done="0"/>
  <w15:commentEx w15:paraId="6FD3E881" w15:done="0"/>
  <w15:commentEx w15:paraId="2F8B9B6B" w15:done="0"/>
  <w15:commentEx w15:paraId="19D629C5" w15:done="0"/>
  <w15:commentEx w15:paraId="33274B7C" w15:done="0"/>
  <w15:commentEx w15:paraId="2246F8BD" w15:done="0"/>
  <w15:commentEx w15:paraId="480D327F" w15:done="0"/>
  <w15:commentEx w15:paraId="3D571A5D" w15:done="0"/>
  <w15:commentEx w15:paraId="2A5C23D3" w15:done="0"/>
  <w15:commentEx w15:paraId="519B2EA9" w15:done="0"/>
  <w15:commentEx w15:paraId="4959F12C" w15:done="0"/>
  <w15:commentEx w15:paraId="3CABF189" w15:done="0"/>
  <w15:commentEx w15:paraId="0670CF55" w15:done="0"/>
  <w15:commentEx w15:paraId="1A85EE6B" w15:done="0"/>
  <w15:commentEx w15:paraId="1F183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4F6D1D4" w16cex:dateUtc="2021-09-23T09:13:00Z"/>
  <w16cex:commentExtensible w16cex:durableId="24F6D305" w16cex:dateUtc="2021-09-23T09:18:00Z"/>
  <w16cex:commentExtensible w16cex:durableId="24F6D489" w16cex:dateUtc="2021-09-23T09:25:00Z"/>
  <w16cex:commentExtensible w16cex:durableId="24F6D52D" w16cex:dateUtc="2021-09-23T09:27:00Z"/>
  <w16cex:commentExtensible w16cex:durableId="24F6D79A" w16cex:dateUtc="2021-09-23T09:38:00Z"/>
  <w16cex:commentExtensible w16cex:durableId="24F6D879" w16cex:dateUtc="2021-09-23T09:42:00Z"/>
  <w16cex:commentExtensible w16cex:durableId="24FEA3C4" w16cex:dateUtc="2021-09-29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5FAB5" w16cid:durableId="24F6D01D"/>
  <w16cid:commentId w16cid:paraId="61F493C1" w16cid:durableId="24F6D0D6"/>
  <w16cid:commentId w16cid:paraId="105A5050" w16cid:durableId="24FEFBF2"/>
  <w16cid:commentId w16cid:paraId="031BE8CD" w16cid:durableId="24F6D1D4"/>
  <w16cid:commentId w16cid:paraId="29E272D9" w16cid:durableId="24F6D01F"/>
  <w16cid:commentId w16cid:paraId="6F5CC0F3" w16cid:durableId="24F6D020"/>
  <w16cid:commentId w16cid:paraId="54632D7A" w16cid:durableId="24F6D021"/>
  <w16cid:commentId w16cid:paraId="7BD47D41" w16cid:durableId="24F6D022"/>
  <w16cid:commentId w16cid:paraId="21D621F3" w16cid:durableId="24F6D023"/>
  <w16cid:commentId w16cid:paraId="2EE11A28" w16cid:durableId="24F6D024"/>
  <w16cid:commentId w16cid:paraId="0CB530D3" w16cid:durableId="24F6D025"/>
  <w16cid:commentId w16cid:paraId="1E1EBC49" w16cid:durableId="24F6D026"/>
  <w16cid:commentId w16cid:paraId="13781251" w16cid:durableId="24F6D027"/>
  <w16cid:commentId w16cid:paraId="100BAD5B" w16cid:durableId="24F6D305"/>
  <w16cid:commentId w16cid:paraId="7F2A73DB" w16cid:durableId="24F6D028"/>
  <w16cid:commentId w16cid:paraId="1AAB86DB" w16cid:durableId="24F6D029"/>
  <w16cid:commentId w16cid:paraId="41614FCF" w16cid:durableId="24F6D02A"/>
  <w16cid:commentId w16cid:paraId="4D3F8048" w16cid:durableId="24F6D02B"/>
  <w16cid:commentId w16cid:paraId="182919F5" w16cid:durableId="24F6D02C"/>
  <w16cid:commentId w16cid:paraId="7BD590A3" w16cid:durableId="24F6D02D"/>
  <w16cid:commentId w16cid:paraId="30F2F082" w16cid:durableId="24F6D02E"/>
  <w16cid:commentId w16cid:paraId="1A582600" w16cid:durableId="24F6D02F"/>
  <w16cid:commentId w16cid:paraId="42B689DE" w16cid:durableId="24F6D030"/>
  <w16cid:commentId w16cid:paraId="6FD3E881" w16cid:durableId="24F6D031"/>
  <w16cid:commentId w16cid:paraId="2F8B9B6B" w16cid:durableId="24F6D032"/>
  <w16cid:commentId w16cid:paraId="19D629C5" w16cid:durableId="24F6D033"/>
  <w16cid:commentId w16cid:paraId="33274B7C" w16cid:durableId="24F6D489"/>
  <w16cid:commentId w16cid:paraId="2246F8BD" w16cid:durableId="24F6D52D"/>
  <w16cid:commentId w16cid:paraId="480D327F" w16cid:durableId="24F6D034"/>
  <w16cid:commentId w16cid:paraId="3D571A5D" w16cid:durableId="24F6D035"/>
  <w16cid:commentId w16cid:paraId="2A5C23D3" w16cid:durableId="24F6D79A"/>
  <w16cid:commentId w16cid:paraId="519B2EA9" w16cid:durableId="24F6D036"/>
  <w16cid:commentId w16cid:paraId="4959F12C" w16cid:durableId="24F6D037"/>
  <w16cid:commentId w16cid:paraId="3CABF189" w16cid:durableId="24F6D879"/>
  <w16cid:commentId w16cid:paraId="0670CF55" w16cid:durableId="24FEA3C4"/>
  <w16cid:commentId w16cid:paraId="1A85EE6B" w16cid:durableId="24F6D038"/>
  <w16cid:commentId w16cid:paraId="1F1832A6" w16cid:durableId="24F6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2D4DF5"/>
    <w:rsid w:val="00380D43"/>
    <w:rsid w:val="00444C49"/>
    <w:rsid w:val="0051217D"/>
    <w:rsid w:val="005C0C38"/>
    <w:rsid w:val="00624780"/>
    <w:rsid w:val="00637A02"/>
    <w:rsid w:val="006B1B53"/>
    <w:rsid w:val="006C7A36"/>
    <w:rsid w:val="006F0A98"/>
    <w:rsid w:val="00775391"/>
    <w:rsid w:val="00873FEF"/>
    <w:rsid w:val="0089199E"/>
    <w:rsid w:val="00924ECB"/>
    <w:rsid w:val="00A83A57"/>
    <w:rsid w:val="00B34B5D"/>
    <w:rsid w:val="00D6058D"/>
    <w:rsid w:val="00F71372"/>
    <w:rsid w:val="00F73D32"/>
    <w:rsid w:val="00FA4C5B"/>
    <w:rsid w:val="00FB38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quicklatex.com/" TargetMode="External"/><Relationship Id="rId2" Type="http://schemas.openxmlformats.org/officeDocument/2006/relationships/hyperlink" Target="https://confoobio.github.io/gmse/notebook/gmse_notes.html" TargetMode="External"/><Relationship Id="rId1" Type="http://schemas.openxmlformats.org/officeDocument/2006/relationships/hyperlink" Target="https://confoobio.github.io/gmse/articles/SI1.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20</Pages>
  <Words>36157</Words>
  <Characters>206098</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5</cp:revision>
  <dcterms:created xsi:type="dcterms:W3CDTF">2021-09-27T10:38:00Z</dcterms:created>
  <dcterms:modified xsi:type="dcterms:W3CDTF">2021-09-29T14:02:00Z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id="GPox8MHe"/&gt;&lt;style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