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r>
        <w:rPr>
          <w:b/>
          <w:bCs/>
        </w:rPr>
        <w:t xml:space="preserve">Introduction </w:t>
      </w:r>
    </w:p>
    <w:p w14:paraId="2DBC8462" w14:textId="3A5DDEAB"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0" w:name="__Fieldmark__10_362668386"/>
      <w:r>
        <w:rPr>
          <w:rFonts w:cs="Calibri"/>
        </w:rPr>
        <w:t>(Echols et al., 2019; Waldron et al., 2013)</w:t>
      </w:r>
      <w:r>
        <w:fldChar w:fldCharType="end"/>
      </w:r>
      <w:bookmarkEnd w:id="0"/>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1" w:name="__Fieldmark__19_362668386"/>
      <w:r w:rsidR="00F73D32" w:rsidRPr="00F73D32">
        <w:rPr>
          <w:rFonts w:ascii="Calibri" w:hAnsi="Calibri" w:cs="Calibri"/>
        </w:rPr>
        <w:t>(Deutz et al., 2020)</w:t>
      </w:r>
      <w:r>
        <w:fldChar w:fldCharType="end"/>
      </w:r>
      <w:bookmarkEnd w:id="1"/>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rsidR="008A7BC9">
        <w:instrText xml:space="preserve"> 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bookmarkStart w:id="2" w:name="__Fieldmark__29_362668386"/>
      <w:r w:rsidR="008A7BC9" w:rsidRPr="008A7BC9">
        <w:rPr>
          <w:rFonts w:ascii="Calibri" w:hAnsi="Calibri" w:cs="Calibri"/>
        </w:rPr>
        <w:t>(Huwyler et al., 2016; Larson et al., 2021; Sayer and Wells, 2004)</w:t>
      </w:r>
      <w:r>
        <w:fldChar w:fldCharType="end"/>
      </w:r>
      <w:bookmarkEnd w:id="2"/>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3" w:name="__Fieldmark__36_362668386"/>
      <w:r>
        <w:rPr>
          <w:rFonts w:cs="Calibri"/>
        </w:rPr>
        <w:t>(Huwyler et al., 2016)</w:t>
      </w:r>
      <w:r>
        <w:fldChar w:fldCharType="end"/>
      </w:r>
      <w:bookmarkEnd w:id="3"/>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 w:name="__Fieldmark__50_362668386"/>
      <w:r>
        <w:rPr>
          <w:rFonts w:cs="Calibri"/>
        </w:rPr>
        <w:t>(Clark et al., 2018)</w:t>
      </w:r>
      <w:r>
        <w:fldChar w:fldCharType="end"/>
      </w:r>
      <w:bookmarkEnd w:id="4"/>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 w:name="__Fieldmark__59_362668386"/>
      <w:r>
        <w:rPr>
          <w:rFonts w:cs="Calibri"/>
        </w:rPr>
        <w:t>(Echols et al., 2019)</w:t>
      </w:r>
      <w:r>
        <w:fldChar w:fldCharType="end"/>
      </w:r>
      <w:bookmarkEnd w:id="5"/>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 w:name="__Fieldmark__68_362668386"/>
      <w:r>
        <w:rPr>
          <w:rFonts w:cs="Calibri"/>
        </w:rPr>
        <w:t>(Clark et al., 2018)</w:t>
      </w:r>
      <w:r>
        <w:fldChar w:fldCharType="end"/>
      </w:r>
      <w:bookmarkEnd w:id="6"/>
      <w:r>
        <w:t xml:space="preserve">. </w:t>
      </w:r>
      <w:commentRangeStart w:id="7"/>
      <w:r>
        <w:t xml:space="preserve">It is therefore likely that in the short- to medium-term, conservation practitioners will remain largely reliant on traditional grant-based funding to implement conservation activities. </w:t>
      </w:r>
      <w:commentRangeEnd w:id="7"/>
      <w:r w:rsidR="00D53698">
        <w:rPr>
          <w:rStyle w:val="CommentReference"/>
        </w:rPr>
        <w:commentReference w:id="7"/>
      </w:r>
    </w:p>
    <w:p w14:paraId="342F701B" w14:textId="073C563C" w:rsidR="002D4DF5" w:rsidRDefault="008A7BC9">
      <w:r>
        <w:t>G</w:t>
      </w:r>
      <w:r w:rsidR="0089199E">
        <w:t xml:space="preserve">rant-based funding </w:t>
      </w:r>
      <w:r>
        <w:t>is</w:t>
      </w:r>
      <w:r w:rsidR="0089199E">
        <w:t xml:space="preserve"> the dominant mechanism for conservation investment</w:t>
      </w:r>
      <w:r>
        <w:t xml:space="preserve"> largely because funders are hesitant to provide long-term institutional support to government agencies that lack the necessary technical and human resources, whereas project- or grant-based funding allows donors to maintain control over finances, standardise approaches, and measure progress </w:t>
      </w:r>
      <w:r>
        <w:fldChar w:fldCharType="begin"/>
      </w:r>
      <w:r>
        <w:instrText xml:space="preserve"> 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r w:rsidRPr="008A7BC9">
        <w:rPr>
          <w:rFonts w:ascii="Calibri" w:hAnsi="Calibri" w:cs="Calibri"/>
        </w:rPr>
        <w:t>(Sayer and Wells, 2004)</w:t>
      </w:r>
      <w:r>
        <w:fldChar w:fldCharType="end"/>
      </w:r>
      <w:r>
        <w:t>.</w:t>
      </w:r>
      <w:r w:rsidR="0089199E">
        <w:t xml:space="preserve"> </w:t>
      </w:r>
      <w:r>
        <w:t>Yet v</w:t>
      </w:r>
      <w:r w:rsidR="0089199E">
        <w:t xml:space="preserve">ery little research has been done to assess the effects of </w:t>
      </w:r>
      <w:commentRangeStart w:id="8"/>
      <w:r w:rsidR="0089199E">
        <w:t xml:space="preserve">unstable, non-linear budgets </w:t>
      </w:r>
      <w:commentRangeEnd w:id="8"/>
      <w:r w:rsidR="00D53698">
        <w:rPr>
          <w:rStyle w:val="CommentReference"/>
        </w:rPr>
        <w:commentReference w:id="8"/>
      </w:r>
      <w:r w:rsidR="0089199E">
        <w:t xml:space="preserve">on biodiversity outcomes, nor the effects of alternative investment strategies. Given the </w:t>
      </w:r>
      <w:r w:rsidR="003A0878">
        <w:t>in</w:t>
      </w:r>
      <w:r w:rsidR="0089199E">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rsidR="0089199E">
        <w:fldChar w:fldCharType="begin"/>
      </w:r>
      <w:r w:rsidR="0089199E">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rsidR="0089199E">
        <w:fldChar w:fldCharType="separate"/>
      </w:r>
      <w:bookmarkStart w:id="9" w:name="__Fieldmark__97_362668386"/>
      <w:r w:rsidR="0089199E">
        <w:rPr>
          <w:rFonts w:cs="Calibri"/>
        </w:rPr>
        <w:t>(Bruner et al., 2004; McBride et al., 2007; Waldron et al., 2013)</w:t>
      </w:r>
      <w:r w:rsidR="0089199E">
        <w:fldChar w:fldCharType="end"/>
      </w:r>
      <w:bookmarkEnd w:id="9"/>
      <w:r w:rsidR="0089199E">
        <w:t xml:space="preserve">. Investing conservation funds strategically over time is made difficult when funding is </w:t>
      </w:r>
      <w:commentRangeStart w:id="10"/>
      <w:r w:rsidR="0089199E">
        <w:t>based on short-term grants</w:t>
      </w:r>
      <w:commentRangeEnd w:id="10"/>
      <w:r w:rsidR="00D53698">
        <w:rPr>
          <w:rStyle w:val="CommentReference"/>
        </w:rPr>
        <w:commentReference w:id="10"/>
      </w:r>
      <w:r w:rsidR="0089199E">
        <w:t xml:space="preserve"> that generally last between one and five years </w:t>
      </w:r>
      <w:r w:rsidR="0089199E">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89199E">
        <w:fldChar w:fldCharType="separate"/>
      </w:r>
      <w:bookmarkStart w:id="11" w:name="__Fieldmark__112_362668386"/>
      <w:r w:rsidR="00321A08" w:rsidRPr="00321A08">
        <w:rPr>
          <w:rFonts w:ascii="Calibri" w:hAnsi="Calibri" w:cs="Calibri"/>
        </w:rPr>
        <w:t>(Hodge and Adams, 2016; Sayer et al., 2017)</w:t>
      </w:r>
      <w:r w:rsidR="0089199E">
        <w:fldChar w:fldCharType="end"/>
      </w:r>
      <w:bookmarkEnd w:id="11"/>
      <w:r w:rsidR="0089199E">
        <w:t xml:space="preserve">. </w:t>
      </w:r>
      <w:commentRangeStart w:id="12"/>
      <w:commentRangeStart w:id="13"/>
      <w:r w:rsidR="0089199E">
        <w:t xml:space="preserve">Most conservation </w:t>
      </w:r>
      <w:commentRangeEnd w:id="12"/>
      <w:r w:rsidR="00380D43">
        <w:rPr>
          <w:rStyle w:val="CommentReference"/>
        </w:rPr>
        <w:commentReference w:id="12"/>
      </w:r>
      <w:commentRangeEnd w:id="13"/>
      <w:r w:rsidR="006F0A98">
        <w:rPr>
          <w:rStyle w:val="CommentReference"/>
        </w:rPr>
        <w:commentReference w:id="13"/>
      </w:r>
      <w:r w:rsidR="0089199E">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rsidR="0089199E">
        <w:t>. This funding model results in long-</w:t>
      </w:r>
      <w:commentRangeStart w:id="14"/>
      <w:r w:rsidR="0089199E">
        <w:t xml:space="preserve">term budgets </w:t>
      </w:r>
      <w:commentRangeEnd w:id="14"/>
      <w:r w:rsidR="00D53698">
        <w:rPr>
          <w:rStyle w:val="CommentReference"/>
        </w:rPr>
        <w:commentReference w:id="14"/>
      </w:r>
      <w:r w:rsidR="0089199E">
        <w:t>that are non-linear, unpredictable, and do not necessarily track changes in threat levels</w:t>
      </w:r>
      <w:r w:rsidR="00321A08">
        <w:t xml:space="preserve"> </w:t>
      </w:r>
      <w:r w:rsidR="00321A08">
        <w:fldChar w:fldCharType="begin"/>
      </w:r>
      <w:r w:rsidR="00321A08">
        <w:instrText xml:space="preserve"> 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321A08" w:rsidRPr="00321A08">
        <w:rPr>
          <w:rFonts w:ascii="Calibri" w:hAnsi="Calibri" w:cs="Calibri"/>
        </w:rPr>
        <w:t>(Sayer et al., 2017)</w:t>
      </w:r>
      <w:r w:rsidR="00321A08">
        <w:fldChar w:fldCharType="end"/>
      </w:r>
      <w:r w:rsidR="00FB3821">
        <w:t>.</w:t>
      </w:r>
      <w:r w:rsidR="00B34B5D">
        <w:t xml:space="preserve"> </w:t>
      </w:r>
      <w:r w:rsidR="0089199E">
        <w:t>The financial stability of a conservation project or organisation is</w:t>
      </w:r>
      <w:commentRangeStart w:id="15"/>
      <w:r w:rsidR="0089199E">
        <w:t xml:space="preserve"> therefore </w:t>
      </w:r>
      <w:commentRangeEnd w:id="15"/>
      <w:r w:rsidR="003C1BD9">
        <w:rPr>
          <w:rStyle w:val="CommentReference"/>
        </w:rPr>
        <w:commentReference w:id="15"/>
      </w:r>
      <w:r w:rsidR="0089199E">
        <w:t>reliant on the ability to leverage external funding through grant applications, which are inherently competitive and have low success rates</w:t>
      </w:r>
      <w:r w:rsidR="00F71372">
        <w:t xml:space="preserve"> </w:t>
      </w:r>
      <w:r w:rsidR="00F71372">
        <w:fldChar w:fldCharType="begin"/>
      </w:r>
      <w:r w:rsidR="00177F53">
        <w:instrText xml:space="preserve"> 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177F53" w:rsidRPr="00177F53">
        <w:rPr>
          <w:rFonts w:ascii="Calibri" w:hAnsi="Calibri" w:cs="Calibri"/>
        </w:rPr>
        <w:t>(Sayer and Wells, 2004; Sohn, 2019)</w:t>
      </w:r>
      <w:r w:rsidR="00F71372">
        <w:fldChar w:fldCharType="end"/>
      </w:r>
      <w:r w:rsidR="0089199E">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rsidR="0089199E">
        <w:t xml:space="preserve">. The same projects will inevitably go through periods of financial </w:t>
      </w:r>
      <w:r w:rsidR="0089199E">
        <w:lastRenderedPageBreak/>
        <w:t>hardship, which often occur between grants</w:t>
      </w:r>
      <w:r w:rsidR="00B908F7">
        <w:t xml:space="preserve"> </w:t>
      </w:r>
      <w:r w:rsidR="00B908F7">
        <w:fldChar w:fldCharType="begin"/>
      </w:r>
      <w:r w:rsidR="00B908F7">
        <w:instrText xml:space="preserve"> ADDIN ZOTERO_ITEM CSL_CITATION {"citationID":"XEvF7PJQ","properties":{"formattedCitation":"(Sayer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908F7">
        <w:fldChar w:fldCharType="separate"/>
      </w:r>
      <w:r w:rsidR="00B908F7" w:rsidRPr="00B908F7">
        <w:rPr>
          <w:rFonts w:ascii="Calibri" w:hAnsi="Calibri" w:cs="Calibri"/>
        </w:rPr>
        <w:t>(Sayer and Wells, 2004)</w:t>
      </w:r>
      <w:r w:rsidR="00B908F7">
        <w:fldChar w:fldCharType="end"/>
      </w:r>
      <w:r w:rsidR="0089199E">
        <w:t xml:space="preserve">. </w:t>
      </w:r>
      <w:r w:rsidR="00D6058D">
        <w:t xml:space="preserve">When conservation projects </w:t>
      </w:r>
      <w:r w:rsidR="00FA4C5B">
        <w:t>experience periods of</w:t>
      </w:r>
      <w:r w:rsidR="00D6058D">
        <w:t xml:space="preserve"> inadequate funding, expenditure</w:t>
      </w:r>
      <w:r w:rsidR="0089199E">
        <w:t xml:space="preserve"> is restricted to minimal core activities, project activities wind down, staff redundancies occur, </w:t>
      </w:r>
      <w:r w:rsidR="006C7A36">
        <w:t xml:space="preserve">research and monitoring activities decrease, </w:t>
      </w:r>
      <w:r w:rsidR="0089199E">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(Bruner et al., 2004; Waithaka et al., 2021)</w:t>
      </w:r>
      <w:r w:rsidR="00D6058D">
        <w:fldChar w:fldCharType="end"/>
      </w:r>
      <w:r w:rsidR="0089199E">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rsidR="0089199E">
        <w:t>. Organisations lose talented staff and thus institutional knowledge, trust between stakeholders and the project or organisation can be lost as commitments may not be met,</w:t>
      </w:r>
      <w:r w:rsidR="00177F53">
        <w:t xml:space="preserve"> local participation in project activities can end </w:t>
      </w:r>
      <w:r w:rsidR="00177F53">
        <w:fldChar w:fldCharType="begin"/>
      </w:r>
      <w:r w:rsidR="00177F53">
        <w:instrText xml:space="preserve"> 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77F53">
        <w:fldChar w:fldCharType="separate"/>
      </w:r>
      <w:r w:rsidR="00177F53" w:rsidRPr="00177F53">
        <w:rPr>
          <w:rFonts w:ascii="Calibri" w:hAnsi="Calibri" w:cs="Calibri"/>
        </w:rPr>
        <w:t>(Sayer and Wells, 2004)</w:t>
      </w:r>
      <w:r w:rsidR="00177F53">
        <w:fldChar w:fldCharType="end"/>
      </w:r>
      <w:r w:rsidR="00177F53">
        <w:t>,</w:t>
      </w:r>
      <w:r w:rsidR="0089199E">
        <w:t xml:space="preserve">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rsidR="0089199E">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rsidR="0089199E">
        <w:t xml:space="preserve">. </w:t>
      </w:r>
    </w:p>
    <w:p w14:paraId="1AEC97C0" w14:textId="0BAE6A5B"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rsidR="00A74284">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16" w:name="__Fieldmark__178_362668386"/>
      <w:r w:rsidR="00A74284" w:rsidRPr="00A74284">
        <w:rPr>
          <w:rFonts w:ascii="Calibri" w:hAnsi="Calibri" w:cs="Calibri"/>
          <w:szCs w:val="24"/>
        </w:rPr>
        <w:t>(Hodge and Adams, 2016; Rodríguez et al., 2007)</w:t>
      </w:r>
      <w:r>
        <w:fldChar w:fldCharType="end"/>
      </w:r>
      <w:bookmarkEnd w:id="16"/>
      <w:r>
        <w:t xml:space="preserve">. </w:t>
      </w:r>
      <w:r w:rsidR="00BA608A">
        <w:t xml:space="preserve">If </w:t>
      </w:r>
      <w:r w:rsidR="001E1E50">
        <w:t xml:space="preserve">financial and operational </w:t>
      </w:r>
      <w:r w:rsidR="00BA608A">
        <w:t>control is</w:t>
      </w:r>
      <w:r w:rsidR="001E1E50">
        <w:t xml:space="preserve"> external in</w:t>
      </w:r>
      <w:r w:rsidR="00BA608A">
        <w:t xml:space="preserve"> grant-funded projects</w:t>
      </w:r>
      <w:r w:rsidR="001E1E50">
        <w:t xml:space="preserve"> that</w:t>
      </w:r>
      <w:r w:rsidR="00BA608A">
        <w:t xml:space="preserve"> involve partnerships with government agencies, local organisations or communities,</w:t>
      </w:r>
      <w:r w:rsidR="001E1E50">
        <w:t xml:space="preserve"> then host countries authorities and other local partners will be unlikely to embrace responsibility, nor have any sense of ownership or genuine partnership </w:t>
      </w:r>
      <w:r w:rsidR="001E1E50">
        <w:fldChar w:fldCharType="begin"/>
      </w:r>
      <w:r w:rsidR="001E1E50">
        <w:instrText xml:space="preserve"> ADDIN ZOTERO_ITEM CSL_CITATION {"citationID":"jzA3QK9C","properties":{"formattedCitation":"(Sayer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E1E50">
        <w:fldChar w:fldCharType="separate"/>
      </w:r>
      <w:r w:rsidR="001E1E50" w:rsidRPr="001E1E50">
        <w:rPr>
          <w:rFonts w:ascii="Calibri" w:hAnsi="Calibri" w:cs="Calibri"/>
        </w:rPr>
        <w:t>(Sayer and Wells, 2004)</w:t>
      </w:r>
      <w:r w:rsidR="001E1E50">
        <w:fldChar w:fldCharType="end"/>
      </w:r>
      <w:r w:rsidR="001E1E50">
        <w:t xml:space="preserve">. </w:t>
      </w:r>
      <w:r>
        <w:t xml:space="preserve">There is also often a lack of transparency and coordination between funders and grant distributors which reduces cohesion and makes strategic allocation of funds at a broader scale difficult </w:t>
      </w:r>
      <w:r>
        <w:fldChar w:fldCharType="begin"/>
      </w:r>
      <w:r w:rsidR="00321A08">
        <w:instrText xml:space="preserve"> 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17" w:name="__Fieldmark__188_362668386"/>
      <w:r w:rsidR="00321A08" w:rsidRPr="00321A08">
        <w:rPr>
          <w:rFonts w:ascii="Calibri" w:hAnsi="Calibri" w:cs="Calibri"/>
        </w:rPr>
        <w:t>(Laufer and Jones, 2021; Sayer et al., 2017)</w:t>
      </w:r>
      <w:r>
        <w:fldChar w:fldCharType="end"/>
      </w:r>
      <w:bookmarkEnd w:id="17"/>
      <w:r>
        <w:t xml:space="preserve">. </w:t>
      </w:r>
      <w:commentRangeStart w:id="18"/>
      <w:r>
        <w:t>Nevertheless, many conservation projects are unable to fund activities through other means</w:t>
      </w:r>
      <w:commentRangeEnd w:id="18"/>
      <w:r w:rsidR="003C1BD9">
        <w:rPr>
          <w:rStyle w:val="CommentReference"/>
        </w:rPr>
        <w:commentReference w:id="18"/>
      </w:r>
      <w:r>
        <w:t xml:space="preserve">. Grants for conservation activities vary in size and duration, with larger, long-term grants (between three and five years) often requiring significant investments in staff time for the development of applications, and </w:t>
      </w:r>
      <w:commentRangeStart w:id="19"/>
      <w:r>
        <w:t xml:space="preserve">substantial administrative capacity to manage the grant if it is awarded. </w:t>
      </w:r>
      <w:commentRangeEnd w:id="19"/>
      <w:r w:rsidR="000514CA">
        <w:rPr>
          <w:rStyle w:val="CommentReference"/>
        </w:rPr>
        <w:commentReference w:id="19"/>
      </w:r>
      <w:r>
        <w:t xml:space="preserve">Such grants are often awarded by international financial institutions (e.g., </w:t>
      </w:r>
      <w:commentRangeStart w:id="20"/>
      <w:r>
        <w:t xml:space="preserve">the World Bank) or international development agencies (e.g., the United States Agency for International Development), </w:t>
      </w:r>
      <w:commentRangeEnd w:id="20"/>
      <w:r w:rsidR="000514CA">
        <w:rPr>
          <w:rStyle w:val="CommentReference"/>
        </w:rPr>
        <w:commentReference w:id="20"/>
      </w:r>
      <w:r>
        <w:t xml:space="preserve">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w:t>
      </w:r>
      <w:commentRangeStart w:id="21"/>
      <w:r>
        <w:t xml:space="preserve">limited in the amount of the award that can be spent on overheads, </w:t>
      </w:r>
      <w:commentRangeEnd w:id="21"/>
      <w:r w:rsidR="00FB1312">
        <w:rPr>
          <w:rStyle w:val="CommentReference"/>
        </w:rPr>
        <w:commentReference w:id="21"/>
      </w:r>
      <w:r>
        <w:t xml:space="preserve">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22" w:name="__Fieldmark__228_362668386"/>
      <w:r>
        <w:rPr>
          <w:rFonts w:cs="Calibri"/>
        </w:rPr>
        <w:t>(Emerton et al., 2006)</w:t>
      </w:r>
      <w:r>
        <w:fldChar w:fldCharType="end"/>
      </w:r>
      <w:bookmarkEnd w:id="22"/>
      <w:r>
        <w:t>.</w:t>
      </w:r>
      <w:r w:rsidR="006F0A98">
        <w:t xml:space="preserve"> </w:t>
      </w:r>
      <w:commentRangeStart w:id="23"/>
      <w:r w:rsidR="004F2133">
        <w:t>There is a paucity of research into the effects of unstable core budgets on the effectiveness of conservation projects, and the implications of financial unpredictability on biodiversity outcomes over time.</w:t>
      </w:r>
      <w:commentRangeEnd w:id="23"/>
      <w:r w:rsidR="004F2133">
        <w:rPr>
          <w:rStyle w:val="CommentReference"/>
        </w:rPr>
        <w:commentReference w:id="23"/>
      </w:r>
      <w:r>
        <w:t xml:space="preserve">                </w:t>
      </w:r>
    </w:p>
    <w:p w14:paraId="01864F5C" w14:textId="3A5643F8"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24" w:name="__Fieldmark__244_362668386"/>
      <w:r>
        <w:rPr>
          <w:rFonts w:cs="Calibri"/>
        </w:rPr>
        <w:t>(Coad et al., 2019)</w:t>
      </w:r>
      <w:r>
        <w:fldChar w:fldCharType="end"/>
      </w:r>
      <w:bookmarkEnd w:id="24"/>
      <w:r>
        <w:t xml:space="preserve">. Insufficient funding of </w:t>
      </w:r>
      <w:r>
        <w:lastRenderedPageBreak/>
        <w:t xml:space="preserve">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25" w:name="__Fieldmark__252_362668386"/>
      <w:r>
        <w:rPr>
          <w:rFonts w:cs="Calibri"/>
        </w:rPr>
        <w:t>(Kearney et al., 2020; Pringle, 2017)</w:t>
      </w:r>
      <w:r>
        <w:fldChar w:fldCharType="end"/>
      </w:r>
      <w:bookmarkEnd w:id="25"/>
      <w:r>
        <w:t>. It is difficult to design and implement effective conservation action that targets the correct drivers at the correct spatial and temporal scales when available funding is</w:t>
      </w:r>
      <w:r w:rsidR="003838B1">
        <w:t xml:space="preserve"> based on short-term projects and is</w:t>
      </w:r>
      <w:r>
        <w:t xml:space="preserve"> consistently below what is required </w:t>
      </w:r>
      <w:r>
        <w:fldChar w:fldCharType="begin"/>
      </w:r>
      <w:r w:rsidR="003838B1">
        <w:instrText xml:space="preserve"> ADDIN ZOTERO_ITEM CSL_CITATION {"citationID":"N3QMLRTT","properties":{"formattedCitation":"(Sayer and Wells, 2004; Tulloch et al., 2020)","plainCitation":"(Sayer and Wells, 2004; Tulloch et al., 2020)","noteIndex":0},"citationItems":[{"id":2880,"uris":["http://zotero.org/users/2170232/items/ZUBKS2W7"],"uri":["http://zotero.org/users/2170232/items/ZUBKS2W7"],"itemData":{"id":2880,"type":"chapter","container-title":"Getting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fldChar w:fldCharType="separate"/>
      </w:r>
      <w:bookmarkStart w:id="26" w:name="__Fieldmark__264_362668386"/>
      <w:r w:rsidR="003838B1" w:rsidRPr="003838B1">
        <w:rPr>
          <w:rFonts w:ascii="Calibri" w:hAnsi="Calibri" w:cs="Calibri"/>
        </w:rPr>
        <w:t>(Sayer and Wells, 2004; Tulloch et al., 2020)</w:t>
      </w:r>
      <w:r>
        <w:fldChar w:fldCharType="end"/>
      </w:r>
      <w:bookmarkEnd w:id="26"/>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27" w:name="__Fieldmark__276_362668386"/>
      <w:r>
        <w:rPr>
          <w:rFonts w:cs="Calibri"/>
        </w:rPr>
        <w:t>(Fryxell et al., 2010)</w:t>
      </w:r>
      <w:r>
        <w:fldChar w:fldCharType="end"/>
      </w:r>
      <w:bookmarkEnd w:id="27"/>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28" w:name="__Fieldmark__282_362668386"/>
      <w:r>
        <w:rPr>
          <w:rFonts w:cs="Calibri"/>
        </w:rPr>
        <w:t>(see Ervin, 2003; Utami et al., 2020)</w:t>
      </w:r>
      <w:r>
        <w:fldChar w:fldCharType="end"/>
      </w:r>
      <w:bookmarkEnd w:id="28"/>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9" w:name="__Fieldmark__297_362668386"/>
      <w:r>
        <w:rPr>
          <w:rFonts w:cs="Calibri"/>
        </w:rPr>
        <w:t>(Wilson et al., 2006)</w:t>
      </w:r>
      <w:r>
        <w:fldChar w:fldCharType="end"/>
      </w:r>
      <w:bookmarkEnd w:id="29"/>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30" w:name="__Fieldmark__305_362668386"/>
      <w:r>
        <w:rPr>
          <w:rFonts w:cs="Calibri"/>
        </w:rPr>
        <w:t>(Armsworth et al., 2018; Murdoch et al., 2010)</w:t>
      </w:r>
      <w:r>
        <w:fldChar w:fldCharType="end"/>
      </w:r>
      <w:bookmarkEnd w:id="30"/>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31" w:name="__Fieldmark__310_362668386"/>
      <w:r>
        <w:rPr>
          <w:rFonts w:cs="Calibri"/>
        </w:rPr>
        <w:t>(Meir et al., 2004; Wilson et al., 2006)</w:t>
      </w:r>
      <w:r>
        <w:fldChar w:fldCharType="end"/>
      </w:r>
      <w:bookmarkEnd w:id="31"/>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32" w:name="__Fieldmark__315_362668386"/>
      <w:r>
        <w:rPr>
          <w:rFonts w:cs="Calibri"/>
        </w:rPr>
        <w:t>(Fishburn et al., 2013)</w:t>
      </w:r>
      <w:r>
        <w:fldChar w:fldCharType="end"/>
      </w:r>
      <w:bookmarkEnd w:id="32"/>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33" w:name="__Fieldmark__320_362668386"/>
      <w:r>
        <w:rPr>
          <w:rFonts w:cs="Calibri"/>
        </w:rPr>
        <w:t>(Tulloch et al., 2020)</w:t>
      </w:r>
      <w:r>
        <w:fldChar w:fldCharType="end"/>
      </w:r>
      <w:bookmarkEnd w:id="33"/>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34" w:name="__Fieldmark__333_362668386"/>
      <w:r>
        <w:rPr>
          <w:rFonts w:cs="Calibri"/>
        </w:rPr>
        <w:t>(McBride et al., 2007)</w:t>
      </w:r>
      <w:r>
        <w:fldChar w:fldCharType="end"/>
      </w:r>
      <w:bookmarkEnd w:id="34"/>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35" w:name="__Fieldmark__340_362668386"/>
      <w:r>
        <w:rPr>
          <w:rFonts w:cs="Calibri"/>
        </w:rPr>
        <w:t>(McBride et al., 2007)</w:t>
      </w:r>
      <w:r>
        <w:fldChar w:fldCharType="end"/>
      </w:r>
      <w:bookmarkEnd w:id="35"/>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36" w:name="__Fieldmark__347_362668386"/>
      <w:r>
        <w:rPr>
          <w:rFonts w:cs="Calibri"/>
        </w:rPr>
        <w:t>(Lennox and Armsworth, 2011)</w:t>
      </w:r>
      <w:r>
        <w:fldChar w:fldCharType="end"/>
      </w:r>
      <w:bookmarkEnd w:id="36"/>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37" w:name="__Fieldmark__357_362668386"/>
      <w:r>
        <w:rPr>
          <w:rFonts w:cs="Calibri"/>
        </w:rPr>
        <w:t>(Wittemyer et al., 2008)</w:t>
      </w:r>
      <w:r>
        <w:fldChar w:fldCharType="end"/>
      </w:r>
      <w:bookmarkEnd w:id="37"/>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38" w:name="__Fieldmark__362_362668386"/>
      <w:r>
        <w:rPr>
          <w:rFonts w:cs="Calibri"/>
        </w:rPr>
        <w:t>(Lindsey et al., 2014)</w:t>
      </w:r>
      <w:r>
        <w:fldChar w:fldCharType="end"/>
      </w:r>
      <w:bookmarkEnd w:id="38"/>
      <w:r>
        <w:t>. 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Start w:id="39"/>
      <w:r w:rsidR="00C2025A">
        <w:t xml:space="preserve">We are not aware of any previous studies that have investigated these aspects of </w:t>
      </w:r>
      <w:commentRangeStart w:id="40"/>
      <w:r w:rsidR="00C2025A">
        <w:t>conservation investment within social-ecological systems.</w:t>
      </w:r>
      <w:commentRangeEnd w:id="39"/>
      <w:r w:rsidR="00C2025A">
        <w:rPr>
          <w:rStyle w:val="CommentReference"/>
        </w:rPr>
        <w:commentReference w:id="39"/>
      </w:r>
      <w:r>
        <w:t xml:space="preserve"> </w:t>
      </w:r>
      <w:commentRangeEnd w:id="40"/>
      <w:r w:rsidR="00256AC1">
        <w:rPr>
          <w:rStyle w:val="CommentReference"/>
        </w:rPr>
        <w:commentReference w:id="40"/>
      </w:r>
      <w:r>
        <w:t xml:space="preserve">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41" w:name="__Fieldmark__368_362668386"/>
      <w:r>
        <w:rPr>
          <w:rFonts w:cs="Calibri"/>
        </w:rPr>
        <w:t>(Santana et al., 2014)</w:t>
      </w:r>
      <w:r>
        <w:fldChar w:fldCharType="end"/>
      </w:r>
      <w:bookmarkEnd w:id="41"/>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42" w:name="__Fieldmark__380_362668386"/>
      <w:r>
        <w:rPr>
          <w:rFonts w:cs="Calibri"/>
        </w:rPr>
        <w:t>(Mouquet et al., 2015)</w:t>
      </w:r>
      <w:r>
        <w:fldChar w:fldCharType="end"/>
      </w:r>
      <w:bookmarkEnd w:id="42"/>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43" w:name="__Fieldmark__395_362668386"/>
      <w:r>
        <w:rPr>
          <w:rFonts w:cs="Calibri"/>
        </w:rPr>
        <w:t>(Doak and Mills, 1994)</w:t>
      </w:r>
      <w:r>
        <w:fldChar w:fldCharType="end"/>
      </w:r>
      <w:bookmarkEnd w:id="43"/>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44" w:name="__Fieldmark__408_362668386"/>
      <w:r>
        <w:rPr>
          <w:rFonts w:cs="Calibri"/>
        </w:rPr>
        <w:t>(Green et al., 2005)</w:t>
      </w:r>
      <w:r>
        <w:fldChar w:fldCharType="end"/>
      </w:r>
      <w:bookmarkEnd w:id="44"/>
      <w:r>
        <w:t xml:space="preserve">. Mathematical models offer the opportunity to take the well-studied component parts of a complex system and reassemble them in ways that capture their fundamental properties whilst allowing for </w:t>
      </w:r>
      <w:r>
        <w:lastRenderedPageBreak/>
        <w:t xml:space="preserve">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45" w:name="__Fieldmark__418_362668386"/>
      <w:r>
        <w:rPr>
          <w:rFonts w:cs="Calibri"/>
        </w:rPr>
        <w:t>(Wilson, 1999)</w:t>
      </w:r>
      <w:r>
        <w:fldChar w:fldCharType="end"/>
      </w:r>
      <w:bookmarkEnd w:id="45"/>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46" w:name="__Fieldmark__434_362668386"/>
      <w:r>
        <w:rPr>
          <w:rFonts w:cs="Calibri"/>
        </w:rPr>
        <w:t>(Levins, 1966)</w:t>
      </w:r>
      <w:r>
        <w:fldChar w:fldCharType="end"/>
      </w:r>
      <w:bookmarkEnd w:id="4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47" w:name="__Fieldmark__458_362668386"/>
      <w:r>
        <w:rPr>
          <w:rFonts w:cs="Calibri"/>
        </w:rPr>
        <w:t>(Green et al., 2005)</w:t>
      </w:r>
      <w:r>
        <w:fldChar w:fldCharType="end"/>
      </w:r>
      <w:bookmarkEnd w:id="47"/>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48" w:name="__Fieldmark__467_362668386"/>
      <w:r>
        <w:rPr>
          <w:rFonts w:cs="Calibri"/>
        </w:rPr>
        <w:t>(Berkes et al., 2000)</w:t>
      </w:r>
      <w:r>
        <w:fldChar w:fldCharType="end"/>
      </w:r>
      <w:bookmarkEnd w:id="48"/>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9" w:name="__Fieldmark__477_362668386"/>
      <w:r w:rsidR="00721CB0" w:rsidRPr="00721CB0">
        <w:rPr>
          <w:rFonts w:ascii="Calibri" w:hAnsi="Calibri" w:cs="Calibri"/>
        </w:rPr>
        <w:t>(Bunnefeld et al., 2011; Duthie et al., 2018a)</w:t>
      </w:r>
      <w:r>
        <w:fldChar w:fldCharType="end"/>
      </w:r>
      <w:bookmarkEnd w:id="49"/>
      <w:r>
        <w:t xml:space="preserve">.  </w:t>
      </w:r>
    </w:p>
    <w:p w14:paraId="1D07DF0F" w14:textId="4160AF22"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50" w:name="__Fieldmark__499_362668386"/>
      <w:r w:rsidR="00721CB0" w:rsidRPr="00721CB0">
        <w:rPr>
          <w:rFonts w:ascii="Calibri" w:hAnsi="Calibri" w:cs="Calibri"/>
        </w:rPr>
        <w:t>(Duthie et al., 2018a)</w:t>
      </w:r>
      <w:r>
        <w:fldChar w:fldCharType="end"/>
      </w:r>
      <w:bookmarkEnd w:id="50"/>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51"/>
      <w:commentRangeStart w:id="52"/>
      <w:r>
        <w:t xml:space="preserve">mechanisms.  </w:t>
      </w:r>
      <w:commentRangeEnd w:id="51"/>
      <w:r w:rsidR="00380D43">
        <w:rPr>
          <w:rStyle w:val="CommentReference"/>
        </w:rPr>
        <w:commentReference w:id="51"/>
      </w:r>
      <w:commentRangeEnd w:id="52"/>
      <w:r w:rsidR="00C2025A">
        <w:rPr>
          <w:rStyle w:val="CommentReference"/>
        </w:rPr>
        <w:commentReference w:id="52"/>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011E247F"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53" w:name="__Fieldmark__518_362668386"/>
      <w:r w:rsidR="00721CB0" w:rsidRPr="00721CB0">
        <w:rPr>
          <w:rFonts w:ascii="Calibri" w:hAnsi="Calibri" w:cs="Calibri"/>
        </w:rPr>
        <w:t>(Duthie et al., 2018a)</w:t>
      </w:r>
      <w:r>
        <w:fldChar w:fldCharType="end"/>
      </w:r>
      <w:bookmarkEnd w:id="53"/>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w:t>
      </w:r>
      <w:r>
        <w:lastRenderedPageBreak/>
        <w:t xml:space="preserve">comprised of four </w:t>
      </w:r>
      <w:proofErr w:type="spellStart"/>
      <w:r>
        <w:t>submodels</w:t>
      </w:r>
      <w:proofErr w:type="spellEnd"/>
      <w:r>
        <w:t xml:space="preserve"> that govern the social-ecological system, each of which can be individually parameterised (Figure 1).</w:t>
      </w:r>
      <w:r w:rsidR="00BC3488">
        <w:t xml:space="preserve"> The individual actors (manager, users, resources) are discrete and events on the landscape are probabilistic, thus introducing stochasticity.</w:t>
      </w:r>
      <w:r>
        <w:t xml:space="preserve">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
    <w:p w14:paraId="3F6AA73D" w14:textId="34AC30DB" w:rsidR="002D4DF5" w:rsidRDefault="0089199E">
      <w:r>
        <w:t xml:space="preserve">The primary approach to altering system dynamics is via the manager and user budgets. </w:t>
      </w:r>
      <w:r w:rsidR="00BC3488">
        <w:t>The relative power between the manager and the users is primarily 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54" w:name="__Fieldmark__538_362668386"/>
      <w:r w:rsidR="00721CB0" w:rsidRPr="00721CB0">
        <w:rPr>
          <w:rFonts w:ascii="Calibri" w:hAnsi="Calibri" w:cs="Calibri"/>
        </w:rPr>
        <w:t>(Cusack et al., 2020; Duthie et al., 2018a; Nilsson et al., 2021)</w:t>
      </w:r>
      <w:r>
        <w:fldChar w:fldCharType="end"/>
      </w:r>
      <w:bookmarkEnd w:id="54"/>
      <w:r>
        <w:t xml:space="preserve">. </w:t>
      </w:r>
    </w:p>
    <w:p w14:paraId="799EA71F" w14:textId="77777777" w:rsidR="002D4DF5" w:rsidRDefault="0089199E">
      <w:commentRangeStart w:id="55"/>
      <w:r>
        <w:rPr>
          <w:i/>
          <w:iCs/>
        </w:rPr>
        <w:t>Genetic algorithm (GA)</w:t>
      </w:r>
      <w:commentRangeEnd w:id="55"/>
      <w:r w:rsidR="00421EF3">
        <w:rPr>
          <w:rStyle w:val="CommentReference"/>
        </w:rPr>
        <w:commentReference w:id="55"/>
      </w:r>
    </w:p>
    <w:p w14:paraId="567E59E7" w14:textId="1027E964"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w:t>
      </w:r>
      <w:commentRangeStart w:id="56"/>
      <w:r w:rsidR="00A30475">
        <w:t>ollowed by a process of</w:t>
      </w:r>
      <w:r>
        <w:t xml:space="preserve"> cross-over and mutation between the initialised strategies</w:t>
      </w:r>
      <w:commentRangeEnd w:id="56"/>
      <w:r w:rsidR="00115188">
        <w:rPr>
          <w:rStyle w:val="CommentReference"/>
        </w:rPr>
        <w:commentReference w:id="56"/>
      </w:r>
      <w:r>
        <w:t xml:space="preserve">, ensuring that budgets are not exceeded. </w:t>
      </w:r>
      <w:r w:rsidR="00A30475">
        <w:t xml:space="preserve">High </w:t>
      </w:r>
      <w:commentRangeStart w:id="57"/>
      <w:r w:rsidR="00A30475">
        <w:t xml:space="preserve">fitness </w:t>
      </w:r>
      <w:commentRangeEnd w:id="57"/>
      <w:r w:rsidR="00115188">
        <w:rPr>
          <w:rStyle w:val="CommentReference"/>
        </w:rPr>
        <w:commentReference w:id="57"/>
      </w:r>
      <w:r w:rsidR="00A30475">
        <w:t>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consequences of each action on the resource population and</w:t>
      </w:r>
      <w:r w:rsidR="00721CB0">
        <w:t xml:space="preserve"> uses the process described above to</w:t>
      </w:r>
      <w:r>
        <w:t xml:space="preserve"> </w:t>
      </w:r>
      <w:r>
        <w:lastRenderedPageBreak/>
        <w:t xml:space="preserve">develop a strategy for the manager to reduce deviation from the target resource population size. </w:t>
      </w:r>
      <w:commentRangeStart w:id="58"/>
      <w:r>
        <w:t xml:space="preserve">Once the manager’s policy is established, users will individually call the GA to decide upon actions that maximise their utility </w:t>
      </w:r>
      <w:commentRangeEnd w:id="58"/>
      <w:r w:rsidR="00115188">
        <w:rPr>
          <w:rStyle w:val="CommentReference"/>
        </w:rPr>
        <w:commentReference w:id="58"/>
      </w:r>
      <w:r>
        <w:t>(e.g.,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663157E0" w14:textId="77777777" w:rsidR="003517F0" w:rsidRDefault="003517F0"/>
    <w:p w14:paraId="484BE6AF" w14:textId="5AF950F5" w:rsidR="002D4DF5" w:rsidRDefault="00B82ABF">
      <w:pPr>
        <w:rPr>
          <w:i/>
          <w:iCs/>
        </w:rPr>
      </w:pPr>
      <w:r>
        <w:rPr>
          <w:noProof/>
        </w:rPr>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8E67B6F"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t>
      </w:r>
      <w:commentRangeStart w:id="59"/>
      <w:r>
        <w:t xml:space="preserve">We allocated 30 “users” </w:t>
      </w:r>
      <w:commentRangeEnd w:id="59"/>
      <w:r w:rsidR="009910B9">
        <w:rPr>
          <w:rStyle w:val="CommentReference"/>
        </w:rPr>
        <w:commentReference w:id="59"/>
      </w:r>
      <w:r>
        <w:t xml:space="preserve">to the landscape, which in this case represented 30 villages or communities, each of which had an </w:t>
      </w:r>
      <w:r w:rsidR="003517F0">
        <w:t xml:space="preserve">approximately </w:t>
      </w:r>
      <w:r>
        <w:t>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0D19FC69" w14:textId="38F50CA1" w:rsidR="003517F0" w:rsidRDefault="003517F0"/>
    <w:p w14:paraId="2BF25714" w14:textId="77777777" w:rsidR="003517F0" w:rsidRDefault="003517F0"/>
    <w:p w14:paraId="246D5CA3" w14:textId="77777777" w:rsidR="002D4DF5" w:rsidRDefault="0089199E">
      <w:pPr>
        <w:rPr>
          <w:u w:val="single"/>
        </w:rPr>
      </w:pPr>
      <w:r>
        <w:rPr>
          <w:u w:val="single"/>
        </w:rPr>
        <w:lastRenderedPageBreak/>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562C9712"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w:t>
      </w:r>
      <w:r w:rsidR="003517F0">
        <w:t>, see above</w:t>
      </w:r>
      <w:r>
        <w:t xml:space="preserve">).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w:t>
      </w:r>
      <w:r>
        <w:lastRenderedPageBreak/>
        <w:t>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03646B0"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plausible that </w:t>
      </w:r>
      <w:r w:rsidR="003517F0">
        <w:t>a</w:t>
      </w:r>
      <w:r>
        <w:t xml:space="preserv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48C2857C"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60" w:name="__Fieldmark__610_362668386"/>
      <w:r w:rsidR="00721CB0" w:rsidRPr="00721CB0">
        <w:rPr>
          <w:rFonts w:ascii="Calibri" w:hAnsi="Calibri" w:cs="Calibri"/>
        </w:rPr>
        <w:t>(Duthie et al., 2018a)</w:t>
      </w:r>
      <w:r>
        <w:fldChar w:fldCharType="end"/>
      </w:r>
      <w:bookmarkEnd w:id="60"/>
      <w:r>
        <w:t xml:space="preserve">. Therefore, equal budgets do not necessarily equate to equal </w:t>
      </w:r>
      <w:r>
        <w:lastRenderedPageBreak/>
        <w:t xml:space="preserve">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61" w:name="__Fieldmark__617_362668386"/>
      <w:r>
        <w:rPr>
          <w:rFonts w:cs="Calibri"/>
        </w:rPr>
        <w:t>(v4.0.4, R Core Team, 2021)</w:t>
      </w:r>
      <w:r>
        <w:fldChar w:fldCharType="end"/>
      </w:r>
      <w:bookmarkEnd w:id="61"/>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E33B965"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r w:rsidR="00B8415A">
        <w:t xml:space="preserve"> (Table 1)</w:t>
      </w:r>
      <w:r>
        <w:t>.</w:t>
      </w:r>
    </w:p>
    <w:p w14:paraId="4ED81064" w14:textId="77777777" w:rsidR="002D4DF5" w:rsidRDefault="0089199E">
      <w:pPr>
        <w:rPr>
          <w:u w:val="single"/>
        </w:rPr>
      </w:pPr>
      <w:r>
        <w:rPr>
          <w:u w:val="single"/>
        </w:rPr>
        <w:t>Scenario 3</w:t>
      </w:r>
    </w:p>
    <w:p w14:paraId="75573C90" w14:textId="77777777" w:rsidR="005E13B1"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05B46A1B" w:rsidR="002D4DF5" w:rsidRPr="00407D32" w:rsidRDefault="0089199E">
      <m:oMathPara>
        <m:oMathParaPr>
          <m:jc m:val="center"/>
        </m:oMathParaPr>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79FD7F5" w14:textId="03E0B3BB" w:rsidR="00407D32" w:rsidRDefault="0089199E" w:rsidP="00D50C48">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w:t>
      </w:r>
      <w:r>
        <w:lastRenderedPageBreak/>
        <w:t>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w:t>
      </w:r>
      <w:r w:rsidR="002C7AE9">
        <w:t xml:space="preserve"> used a Fourier series approach to create irregular curves by </w:t>
      </w:r>
      <w:r w:rsidR="00B8415A">
        <w:t>summing multiple</w:t>
      </w:r>
      <w:r w:rsidR="002C7AE9">
        <w:t xml:space="preserve"> sine waves of different</w:t>
      </w:r>
      <w:r w:rsidR="00AA1760">
        <w:t xml:space="preserve"> </w:t>
      </w:r>
      <w:r w:rsidR="002C7AE9">
        <w:t>frequency</w:t>
      </w:r>
      <w:r w:rsidR="00D84DC6">
        <w:t xml:space="preserve"> </w:t>
      </w:r>
      <w:r w:rsidR="00D84DC6" w:rsidRPr="00D84DC6">
        <w:t>(</w:t>
      </w:r>
      <m:oMath>
        <m:r>
          <w:rPr>
            <w:rFonts w:ascii="Cambria Math" w:hAnsi="Cambria Math"/>
          </w:rPr>
          <m:t>f</m:t>
        </m:r>
      </m:oMath>
      <w:r w:rsidR="00D84DC6" w:rsidRPr="00D84DC6">
        <w:t>)</w:t>
      </w:r>
      <w:r w:rsidR="002C7AE9">
        <w:t>, delay</w:t>
      </w:r>
      <w:r w:rsidR="00D84DC6">
        <w:t xml:space="preserve"> </w:t>
      </w:r>
      <w:r w:rsidR="00D84DC6" w:rsidRPr="00D84DC6">
        <w:t>(</w:t>
      </w:r>
      <m:oMath>
        <m:r>
          <w:rPr>
            <w:rFonts w:ascii="Cambria Math" w:hAnsi="Cambria Math"/>
          </w:rPr>
          <m:t>φ</m:t>
        </m:r>
      </m:oMath>
      <w:r w:rsidR="00D84DC6" w:rsidRPr="00D84DC6">
        <w:t>)</w:t>
      </w:r>
      <w:r w:rsidR="002C7AE9">
        <w:t>, and strength</w:t>
      </w:r>
      <w:r w:rsidR="00D84DC6">
        <w:t xml:space="preserve"> </w:t>
      </w:r>
      <w:r w:rsidR="00D84DC6" w:rsidRPr="00D84DC6">
        <w:t>(</w:t>
      </w:r>
      <m:oMath>
        <m:r>
          <w:rPr>
            <w:rFonts w:ascii="Cambria Math" w:hAnsi="Cambria Math"/>
          </w:rPr>
          <m:t>A</m:t>
        </m:r>
      </m:oMath>
      <w:r w:rsidR="00D84DC6" w:rsidRPr="00D84DC6">
        <w:t>)</w:t>
      </w:r>
      <w:r w:rsidR="002C7AE9">
        <w:t>. We</w:t>
      </w:r>
      <w:r>
        <w:t xml:space="preserve"> produced three sine waves</w:t>
      </w:r>
      <w:r w:rsidR="002C7AE9">
        <w:t xml:space="preserve"> for each replicate simulation</w:t>
      </w:r>
      <w:r>
        <w:t xml:space="preserve"> by randomly sampling values</w:t>
      </w:r>
      <w:r w:rsidR="00FF7073">
        <w:t xml:space="preserve"> for the above parameters (Supporting Information</w:t>
      </w:r>
      <w:r w:rsidR="00407D32">
        <w:t xml:space="preserve">). </w:t>
      </w:r>
      <w:r>
        <w:t xml:space="preserve">The three sine waves were </w:t>
      </w:r>
      <w:r w:rsidR="00407D32">
        <w:t>summed</w:t>
      </w:r>
      <w:r>
        <w:t xml:space="preserve"> to produce a random complex wave</w:t>
      </w:r>
      <w:r w:rsidR="00407D32">
        <w:t>, using,</w:t>
      </w:r>
    </w:p>
    <w:p w14:paraId="6F8426BB" w14:textId="54B0740D" w:rsidR="00407D32" w:rsidRPr="00407D32" w:rsidRDefault="00407D32" w:rsidP="00D50C48">
      <m:oMathPara>
        <m:oMathParaPr>
          <m:jc m:val="center"/>
        </m:oMathParaP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20118AAE" w14:textId="26874456" w:rsidR="002D4DF5" w:rsidRPr="00407D32" w:rsidRDefault="00407D32" w:rsidP="00D50C48">
      <w:r>
        <w:t xml:space="preserve">Where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sine wave </w:t>
      </w:r>
      <m:oMath>
        <m:r>
          <w:rPr>
            <w:rFonts w:ascii="Cambria Math" w:eastAsiaTheme="minorEastAsia" w:hAnsi="Cambria Math"/>
          </w:rPr>
          <m:t>i</m:t>
        </m:r>
      </m:oMath>
      <w:r>
        <w:rPr>
          <w:rFonts w:eastAsiaTheme="minorEastAsia"/>
        </w:rPr>
        <w:t xml:space="preserve"> at time </w:t>
      </w:r>
      <w:r>
        <w:rPr>
          <w:rFonts w:eastAsiaTheme="minorEastAsia"/>
          <w:i/>
          <w:iCs/>
        </w:rPr>
        <w:t xml:space="preserve">t, </w:t>
      </w:r>
      <w:r>
        <w:rPr>
          <w:rFonts w:eastAsiaTheme="minorEastAsia"/>
        </w:rPr>
        <w:t xml:space="preserve">and </w:t>
      </w:r>
      <w:r>
        <w:rPr>
          <w:rFonts w:eastAsiaTheme="minorEastAsia"/>
          <w:i/>
          <w:iCs/>
        </w:rPr>
        <w:t>C</w:t>
      </w:r>
      <w:r>
        <w:rPr>
          <w:rFonts w:eastAsiaTheme="minorEastAsia"/>
        </w:rPr>
        <w:t xml:space="preserve"> is a </w:t>
      </w:r>
      <w:proofErr w:type="gramStart"/>
      <w:r>
        <w:rPr>
          <w:rFonts w:eastAsiaTheme="minorEastAsia"/>
        </w:rPr>
        <w:t>constant.</w:t>
      </w:r>
      <w:proofErr w:type="gramEnd"/>
      <w:r>
        <w:rPr>
          <w:rFonts w:eastAsiaTheme="minorEastAsia"/>
        </w:rPr>
        <w:t xml:space="preserve"> </w:t>
      </w:r>
      <w:r w:rsidR="0089199E">
        <w:t xml:space="preserve">Each of the 100 replicates produced a different complex wave (Figure 2 shows 10 examples, see Supporting Information section 4 for all </w:t>
      </w:r>
      <w:r w:rsidR="00B8415A">
        <w:t>100</w:t>
      </w:r>
      <w:r w:rsidR="0089199E">
        <w:t xml:space="preserve"> waves used in the simulations). </w:t>
      </w:r>
    </w:p>
    <w:p w14:paraId="5C020B4D" w14:textId="77777777" w:rsidR="002D4DF5" w:rsidRDefault="0089199E">
      <w:pPr>
        <w:rPr>
          <w:u w:val="single"/>
        </w:rPr>
      </w:pPr>
      <w:r>
        <w:rPr>
          <w:u w:val="single"/>
        </w:rPr>
        <w:t>Scenario 5</w:t>
      </w:r>
    </w:p>
    <w:p w14:paraId="55787DDC" w14:textId="74F583C9"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 from, thus increasing the potential amplitude of each wave, and making the changes in wave frequency more extreme (Figure 2 shows 10 examples, see Supporting Information section 4 for all </w:t>
      </w:r>
      <w:r w:rsidR="00B8415A">
        <w:t>100</w:t>
      </w:r>
      <w:r>
        <w:t xml:space="preserve"> waves used in the simulations). To simulate this scenario, we produced a set of three random sine waves</w:t>
      </w:r>
      <w:r w:rsidR="00407D32">
        <w:t xml:space="preserve"> which</w:t>
      </w:r>
      <w:r>
        <w:t xml:space="preserve"> were used to produce a new complex wave for each replicate, using the same</w:t>
      </w:r>
      <w:r w:rsidR="00407D32">
        <w:t xml:space="preserve"> approach and</w:t>
      </w:r>
      <w:r>
        <w:t xml:space="preserve"> formula as in Scenario 4</w:t>
      </w:r>
      <w:r w:rsidR="00407D32">
        <w:t xml:space="preserve"> (Supporting Information)</w:t>
      </w:r>
      <w:r>
        <w:t xml:space="preserve">. </w:t>
      </w:r>
    </w:p>
    <w:p w14:paraId="0A81488D" w14:textId="77777777" w:rsidR="002D4DF5" w:rsidRDefault="0089199E">
      <w:pPr>
        <w:rPr>
          <w:u w:val="single"/>
        </w:rPr>
      </w:pPr>
      <w:r>
        <w:rPr>
          <w:u w:val="single"/>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62"/>
      <w:commentRangeStart w:id="63"/>
      <w:r>
        <w:t>ts to 25,000, using,</w:t>
      </w:r>
      <w:commentRangeEnd w:id="62"/>
      <w:r>
        <w:commentReference w:id="62"/>
      </w:r>
      <w:commentRangeEnd w:id="63"/>
      <w:r w:rsidR="006668D0">
        <w:rPr>
          <w:rStyle w:val="CommentReference"/>
        </w:rPr>
        <w:commentReference w:id="63"/>
      </w:r>
    </w:p>
    <w:p w14:paraId="66C6C2DC" w14:textId="0913895B" w:rsidR="002D4DF5" w:rsidRPr="006668D0" w:rsidRDefault="0089199E">
      <w:pPr>
        <w:rPr>
          <w:sz w:val="24"/>
          <w:szCs w:val="24"/>
        </w:rPr>
      </w:pPr>
      <m:oMathPara>
        <m:oMathParaPr>
          <m:jc m:val="left"/>
        </m:oMathParaPr>
        <m:oMath>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en>
          </m:f>
        </m:oMath>
      </m:oMathPara>
    </w:p>
    <w:p w14:paraId="722E5EB7" w14:textId="7CF38130" w:rsidR="002D4DF5" w:rsidRDefault="0089199E">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manager budget</w:t>
      </w:r>
      <w:r w:rsidR="006668D0">
        <w:t xml:space="preserve"> </w:t>
      </w:r>
      <m:oMath>
        <m:r>
          <w:rPr>
            <w:rFonts w:ascii="Cambria Math" w:hAnsi="Cambria Math"/>
          </w:rPr>
          <m:t>x</m:t>
        </m:r>
      </m:oMath>
      <w:r>
        <w:t xml:space="preserve"> </w:t>
      </w:r>
      <w:r w:rsidR="006668D0">
        <w:t xml:space="preserve">at time step </w:t>
      </w:r>
      <m:oMath>
        <m:r>
          <w:rPr>
            <w:rFonts w:ascii="Cambria Math" w:hAnsi="Cambria Math"/>
          </w:rPr>
          <m:t>i</m:t>
        </m:r>
      </m:oMath>
      <w:r>
        <w:t xml:space="preserve"> produced in the above </w:t>
      </w:r>
      <w:proofErr w:type="gramStart"/>
      <w:r>
        <w:t>sections.</w:t>
      </w:r>
      <w:proofErr w:type="gramEnd"/>
      <w:r>
        <w:t xml:space="preserve">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15B9C018" w14:textId="44F9A9C9" w:rsidR="002D4DF5" w:rsidRPr="006668D0" w:rsidRDefault="0089199E">
      <m:oMathPara>
        <m:oMathParaPr>
          <m:jc m:val="left"/>
        </m:oMathParaPr>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4CE710F0" w:rsidR="002D4DF5" w:rsidRDefault="00B8415A">
      <w:r>
        <w:rPr>
          <w:rFonts w:eastAsiaTheme="minorEastAsia"/>
        </w:rPr>
        <w:lastRenderedPageBreak/>
        <w:t>where</w:t>
      </w:r>
      <w:r w:rsidR="0089199E">
        <w:rPr>
          <w:rFonts w:eastAsiaTheme="minorEastAsia"/>
        </w:rPr>
        <w:t xml:space="preserve"> </w:t>
      </w:r>
      <w:proofErr w:type="spellStart"/>
      <w:r w:rsidR="0089199E">
        <w:rPr>
          <w:rFonts w:eastAsiaTheme="minorEastAsia"/>
          <w:i/>
          <w:iCs/>
        </w:rPr>
        <w:t>nUA</w:t>
      </w:r>
      <w:proofErr w:type="spellEnd"/>
      <w:r w:rsidR="0089199E">
        <w:rPr>
          <w:rFonts w:eastAsiaTheme="minorEastAsia"/>
        </w:rPr>
        <w:t xml:space="preserve"> is the number of user actions (i.e., the number of trees felled), </w:t>
      </w:r>
      <w:r w:rsidR="0089199E">
        <w:rPr>
          <w:rFonts w:eastAsiaTheme="minorEastAsia"/>
          <w:i/>
          <w:iCs/>
        </w:rPr>
        <w:t>CR</w:t>
      </w:r>
      <w:r w:rsidR="0089199E">
        <w:rPr>
          <w:rFonts w:eastAsiaTheme="minorEastAsia"/>
        </w:rPr>
        <w:t xml:space="preserve"> is the community resources (user budget), and </w:t>
      </w:r>
      <w:r w:rsidR="0089199E">
        <w:rPr>
          <w:rFonts w:eastAsiaTheme="minorEastAsia"/>
          <w:i/>
          <w:iCs/>
        </w:rPr>
        <w:t>MB</w:t>
      </w:r>
      <w:r w:rsidR="0089199E">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11"/>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64"/>
      <w:commentRangeStart w:id="65"/>
      <w:r>
        <w:t>This is despite having a felling count that increased linearly throughout the simulation (Figure 5).</w:t>
      </w:r>
      <w:commentRangeEnd w:id="64"/>
      <w:r>
        <w:commentReference w:id="64"/>
      </w:r>
      <w:commentRangeEnd w:id="65"/>
      <w:r w:rsidR="00D24518">
        <w:rPr>
          <w:rStyle w:val="CommentReference"/>
        </w:rPr>
        <w:commentReference w:id="65"/>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57D10233"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2"/>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3"/>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4"/>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5"/>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commentRangeStart w:id="66"/>
      <w:r>
        <w:rPr>
          <w:b/>
          <w:bCs/>
          <w:sz w:val="24"/>
          <w:szCs w:val="24"/>
        </w:rPr>
        <w:t xml:space="preserve">Discussion </w:t>
      </w:r>
      <w:commentRangeEnd w:id="66"/>
      <w:r w:rsidR="009558F3">
        <w:rPr>
          <w:rStyle w:val="CommentReference"/>
        </w:rPr>
        <w:commentReference w:id="66"/>
      </w:r>
    </w:p>
    <w:p w14:paraId="4ABA873F" w14:textId="0062FE01" w:rsidR="002D4DF5" w:rsidRDefault="0089199E">
      <w:r>
        <w:t>Global funding for nature conservation is far below what is required</w:t>
      </w:r>
      <w:r w:rsidR="00D24518">
        <w:t xml:space="preserve"> to halt </w:t>
      </w:r>
      <w:commentRangeStart w:id="67"/>
      <w:r w:rsidR="00D24518">
        <w:t>biodiversity loss</w:t>
      </w:r>
      <w:r>
        <w:t xml:space="preserve"> </w:t>
      </w:r>
      <w:commentRangeEnd w:id="67"/>
      <w:r w:rsidR="009558F3">
        <w:rPr>
          <w:rStyle w:val="CommentReference"/>
        </w:rPr>
        <w:commentReference w:id="67"/>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68" w:name="__Fieldmark__1068_362668386"/>
      <w:r>
        <w:rPr>
          <w:rFonts w:cs="Calibri"/>
        </w:rPr>
        <w:t>(Freeling and Connell, 2020; Laufer and Jones, 2021)</w:t>
      </w:r>
      <w:r>
        <w:fldChar w:fldCharType="end"/>
      </w:r>
      <w:bookmarkEnd w:id="68"/>
      <w:r>
        <w:t xml:space="preserve">, and the funding that is available is rarely stable or sustainable over periods of more than a few years. To maximise conservation gains it is necessary to </w:t>
      </w:r>
      <w:r>
        <w:lastRenderedPageBreak/>
        <w:t>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53C3F06A" w:rsidR="002D4DF5" w:rsidRDefault="0089199E">
      <w:commentRangeStart w:id="69"/>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w:t>
      </w:r>
      <w:commentRangeEnd w:id="69"/>
      <w:r w:rsidR="00B61E9C">
        <w:rPr>
          <w:rStyle w:val="CommentReference"/>
        </w:rPr>
        <w:commentReference w:id="69"/>
      </w:r>
      <w:r>
        <w:t>. A constant budget is preferable to an increasing budget that starts too low, even when</w:t>
      </w:r>
      <w:r w:rsidR="007853F1">
        <w:t xml:space="preserve"> the increasing budget</w:t>
      </w:r>
      <w:r>
        <w:t xml:space="preserve"> </w:t>
      </w:r>
      <w:r w:rsidR="007853F1">
        <w:t>exceeds</w:t>
      </w:r>
      <w:r>
        <w:t xml:space="preserve">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w:t>
      </w:r>
      <w:commentRangeStart w:id="70"/>
      <w:commentRangeStart w:id="71"/>
      <w:commentRangeStart w:id="72"/>
      <w:r>
        <w:t xml:space="preserve">attempted here. </w:t>
      </w:r>
      <w:commentRangeEnd w:id="70"/>
      <w:r>
        <w:rPr>
          <w:rStyle w:val="CommentReference"/>
        </w:rPr>
        <w:commentReference w:id="70"/>
      </w:r>
      <w:commentRangeEnd w:id="71"/>
      <w:r w:rsidR="00462612">
        <w:rPr>
          <w:rStyle w:val="CommentReference"/>
        </w:rPr>
        <w:commentReference w:id="71"/>
      </w:r>
      <w:commentRangeEnd w:id="72"/>
      <w:r w:rsidR="0074785F">
        <w:rPr>
          <w:rStyle w:val="CommentReference"/>
        </w:rPr>
        <w:commentReference w:id="72"/>
      </w:r>
    </w:p>
    <w:p w14:paraId="5E4B2961" w14:textId="17022529" w:rsidR="002D4DF5" w:rsidRDefault="0089199E">
      <w:r>
        <w:t>Providing a manager with a stable budget that allows the development and maintenance of policies that minimise deforestation over the long-term is the best approach</w:t>
      </w:r>
      <w:r w:rsidR="00731AF4">
        <w:t xml:space="preserve"> in this study</w:t>
      </w:r>
      <w:r>
        <w:t>.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w:t>
      </w:r>
      <w:r w:rsidR="00B81406">
        <w:t xml:space="preserve"> </w:t>
      </w:r>
      <w:commentRangeStart w:id="73"/>
      <w:r w:rsidR="00B81406">
        <w:fldChar w:fldCharType="begin"/>
      </w:r>
      <w:r w:rsidR="00B81406">
        <w:instrText xml:space="preserve"> ADDIN ZOTERO_ITEM CSL_CITATION {"citationID":"zMgdiY4R","properties":{"formattedCitation":"(Sayer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w:t>
      </w:r>
      <w:commentRangeEnd w:id="73"/>
      <w:r w:rsidR="00B81406">
        <w:rPr>
          <w:rStyle w:val="CommentReference"/>
        </w:rPr>
        <w:commentReference w:id="73"/>
      </w:r>
      <w:r>
        <w:t xml:space="preserve">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w:t>
      </w:r>
      <w:r w:rsidR="003E5FF9">
        <w:t xml:space="preserve"> </w:t>
      </w:r>
      <w:commentRangeStart w:id="74"/>
      <w:commentRangeStart w:id="75"/>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w:t>
      </w:r>
      <w:r w:rsidR="00731AF4">
        <w:t xml:space="preserve"> seen as examples and</w:t>
      </w:r>
      <w:r w:rsidR="00173C07">
        <w:t xml:space="preserve"> treated with caution.</w:t>
      </w:r>
      <w:r>
        <w:t xml:space="preserve"> </w:t>
      </w:r>
      <w:commentRangeEnd w:id="74"/>
      <w:r w:rsidR="00173C07">
        <w:rPr>
          <w:rStyle w:val="CommentReference"/>
        </w:rPr>
        <w:commentReference w:id="74"/>
      </w:r>
      <w:commentRangeEnd w:id="75"/>
      <w:r w:rsidR="0074785F">
        <w:rPr>
          <w:rStyle w:val="CommentReference"/>
        </w:rPr>
        <w:commentReference w:id="75"/>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485861F2" w14:textId="77777777" w:rsidR="00574A12" w:rsidRDefault="00574A12"/>
    <w:p w14:paraId="047F4F80" w14:textId="77777777" w:rsidR="002D4DF5" w:rsidRDefault="0089199E">
      <w:r>
        <w:rPr>
          <w:i/>
          <w:iCs/>
        </w:rPr>
        <w:lastRenderedPageBreak/>
        <w:t>Uncertainty and unpredictability in funding</w:t>
      </w:r>
    </w:p>
    <w:p w14:paraId="23198C23" w14:textId="628306AF" w:rsidR="002D4DF5" w:rsidRDefault="0089199E">
      <w:r>
        <w:t>Scenarios 4 and 5 highlight two common funding situations for conservation organisations and projects</w:t>
      </w:r>
      <w:r w:rsidR="00731AF4">
        <w:t xml:space="preserve"> </w:t>
      </w:r>
      <w:r w:rsidR="00731AF4">
        <w:fldChar w:fldCharType="begin"/>
      </w:r>
      <w:r w:rsidR="00731AF4">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731AF4">
        <w:fldChar w:fldCharType="separate"/>
      </w:r>
      <w:r w:rsidR="00731AF4" w:rsidRPr="00731AF4">
        <w:rPr>
          <w:rFonts w:ascii="Calibri" w:hAnsi="Calibri" w:cs="Calibri"/>
        </w:rPr>
        <w:t>(Hodge and Adams, 2016)</w:t>
      </w:r>
      <w:r w:rsidR="00731AF4">
        <w:fldChar w:fldCharType="end"/>
      </w:r>
      <w:r>
        <w:t>.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w:t>
      </w:r>
      <w:r w:rsidR="00A74284">
        <w:t xml:space="preserve"> </w:t>
      </w:r>
      <w:r w:rsidR="00A74284">
        <w:fldChar w:fldCharType="begin"/>
      </w:r>
      <w:r w:rsidR="00DD29EF">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rsidR="00A74284">
        <w:fldChar w:fldCharType="separate"/>
      </w:r>
      <w:r w:rsidR="00DD29EF" w:rsidRPr="00DD29EF">
        <w:rPr>
          <w:rFonts w:ascii="Calibri" w:hAnsi="Calibri" w:cs="Calibri"/>
        </w:rPr>
        <w:t>(Andrade and Rhodes, 2012; Moore et al., 2018; Steinmetz et al., 2014)</w:t>
      </w:r>
      <w:r w:rsidR="00A74284">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w:t>
      </w:r>
      <w:commentRangeStart w:id="76"/>
      <w:r>
        <w:t xml:space="preserve">. In some cases, they can maintain a forest loss trajectory </w:t>
      </w:r>
      <w:proofErr w:type="gramStart"/>
      <w:r>
        <w:t>similar to</w:t>
      </w:r>
      <w:proofErr w:type="gramEnd"/>
      <w:r>
        <w:t xml:space="preserve"> scenarios 1 and 4, yet more often the rate of forest loss is worse, regularly leading to </w:t>
      </w:r>
      <w:r w:rsidR="00D24518">
        <w:t>complete forest loss</w:t>
      </w:r>
      <w:r>
        <w:t xml:space="preserve">. </w:t>
      </w:r>
      <w:commentRangeEnd w:id="76"/>
      <w:r w:rsidR="0074785F">
        <w:rPr>
          <w:rStyle w:val="CommentReference"/>
        </w:rPr>
        <w:commentReference w:id="76"/>
      </w:r>
    </w:p>
    <w:p w14:paraId="2621DBC1" w14:textId="62430BFE" w:rsidR="002D4DF5" w:rsidRDefault="0089199E">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w:t>
      </w:r>
      <w:r w:rsidR="00BB6084">
        <w:t xml:space="preserve"> </w:t>
      </w:r>
      <w:r w:rsidR="00BB6084">
        <w:fldChar w:fldCharType="begin"/>
      </w:r>
      <w:r w:rsidR="00BB6084">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BB6084">
        <w:fldChar w:fldCharType="separate"/>
      </w:r>
      <w:r w:rsidR="00BB6084" w:rsidRPr="00BB6084">
        <w:rPr>
          <w:rFonts w:ascii="Calibri" w:hAnsi="Calibri" w:cs="Calibri"/>
        </w:rPr>
        <w:t>(Sohn, 2019)</w:t>
      </w:r>
      <w:r w:rsidR="00BB6084">
        <w:fldChar w:fldCharType="end"/>
      </w:r>
      <w:r>
        <w:t>. When long-term budgets are unpredictable, uncertain, and highly variable, landscape managers are often unable to maintain core activities, guarantee continued support for communities and other stakeholders, plan investments strategically,</w:t>
      </w:r>
      <w:r w:rsidR="00321A08">
        <w:t xml:space="preserve"> assess impacts,</w:t>
      </w:r>
      <w:r>
        <w:t xml:space="preserve"> or target investments at the most relevant drivers of biodiversity loss</w:t>
      </w:r>
      <w:r w:rsidR="00505C1D">
        <w:t xml:space="preserve"> </w:t>
      </w:r>
      <w:r w:rsidR="00505C1D">
        <w:fldChar w:fldCharType="begin"/>
      </w:r>
      <w:r w:rsidR="00321A08">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rsidR="00505C1D">
        <w:fldChar w:fldCharType="separate"/>
      </w:r>
      <w:r w:rsidR="00321A08" w:rsidRPr="00321A08">
        <w:rPr>
          <w:rFonts w:ascii="Calibri" w:hAnsi="Calibri" w:cs="Calibri"/>
        </w:rPr>
        <w:t>(Barnes et al., 2018; Gill et al., 2017; Gollin and Probst, 2015; McCarthy et al., 2012)</w:t>
      </w:r>
      <w:r w:rsidR="00505C1D">
        <w:fldChar w:fldCharType="end"/>
      </w:r>
      <w:r>
        <w:t xml:space="preserve">. In contrast, when core budgets are guaranteed, managers can maintain core activities and investments over the long-term which provides stability and minimises </w:t>
      </w:r>
      <w:commentRangeStart w:id="77"/>
      <w:commentRangeStart w:id="78"/>
      <w:r>
        <w:t>biodiversity loss.</w:t>
      </w:r>
      <w:commentRangeEnd w:id="77"/>
      <w:r w:rsidR="00444C49">
        <w:rPr>
          <w:rStyle w:val="CommentReference"/>
        </w:rPr>
        <w:commentReference w:id="77"/>
      </w:r>
      <w:commentRangeEnd w:id="78"/>
      <w:r w:rsidR="00622F30">
        <w:rPr>
          <w:rStyle w:val="CommentReference"/>
        </w:rPr>
        <w:commentReference w:id="78"/>
      </w:r>
    </w:p>
    <w:p w14:paraId="7BF84810" w14:textId="77777777" w:rsidR="002D4DF5" w:rsidRDefault="0089199E">
      <w:pPr>
        <w:rPr>
          <w:i/>
          <w:iCs/>
        </w:rPr>
      </w:pPr>
      <w:r>
        <w:rPr>
          <w:i/>
          <w:iCs/>
        </w:rPr>
        <w:t xml:space="preserve">Key messages </w:t>
      </w:r>
    </w:p>
    <w:p w14:paraId="7EF17C8E" w14:textId="7AC29CF8" w:rsidR="002D4DF5" w:rsidRDefault="0089199E">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w:t>
      </w:r>
      <w:r w:rsidR="00B81406">
        <w:t xml:space="preserve"> </w:t>
      </w:r>
      <w:r w:rsidR="00B81406">
        <w:fldChar w:fldCharType="begin"/>
      </w:r>
      <w:r w:rsidR="00B81406">
        <w:instrText xml:space="preserve"> ADDIN ZOTERO_ITEM CSL_CITATION {"citationID":"eDYsjV3N","properties":{"formattedCitation":"(Sayer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 xml:space="preserve">.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w:t>
      </w:r>
      <w:r>
        <w:lastRenderedPageBreak/>
        <w:t>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11443F69" w14:textId="6032EE0D"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0241614F" w14:textId="14C8005D" w:rsidR="002D4DF5" w:rsidRDefault="0089199E">
      <w:pPr>
        <w:rPr>
          <w:i/>
          <w:iCs/>
        </w:rPr>
      </w:pPr>
      <w:r>
        <w:rPr>
          <w:i/>
          <w:iCs/>
        </w:rPr>
        <w:t xml:space="preserve">Conclusions – </w:t>
      </w:r>
      <w:r w:rsidR="00223B57">
        <w:rPr>
          <w:i/>
          <w:iCs/>
        </w:rPr>
        <w:t>the way forward</w:t>
      </w:r>
    </w:p>
    <w:p w14:paraId="213ED617" w14:textId="2A2CAE10"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79" w:name="__Fieldmark__1102_362668386"/>
      <w:r>
        <w:rPr>
          <w:rFonts w:cs="Calibri"/>
        </w:rPr>
        <w:t>(Echols et al., 2019; Larson et al., 2021)</w:t>
      </w:r>
      <w:r>
        <w:fldChar w:fldCharType="end"/>
      </w:r>
      <w:bookmarkEnd w:id="79"/>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80" w:name="__Fieldmark__1107_362668386"/>
      <w:r>
        <w:rPr>
          <w:rFonts w:cs="Calibri"/>
        </w:rPr>
        <w:t>(Laufer and Jones, 2021)</w:t>
      </w:r>
      <w:r>
        <w:fldChar w:fldCharType="end"/>
      </w:r>
      <w:bookmarkEnd w:id="80"/>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81" w:name="__Fieldmark__1112_362668386"/>
      <w:r>
        <w:rPr>
          <w:rFonts w:cs="Calibri"/>
        </w:rPr>
        <w:t>(Echols et al., 2019)</w:t>
      </w:r>
      <w:r>
        <w:fldChar w:fldCharType="end"/>
      </w:r>
      <w:bookmarkEnd w:id="81"/>
      <w:r>
        <w:t>.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w:t>
      </w:r>
      <w:r w:rsidR="00574A12">
        <w:t xml:space="preserve"> </w:t>
      </w:r>
      <w:r w:rsidR="00574A12">
        <w:fldChar w:fldCharType="begin"/>
      </w:r>
      <w:r w:rsidR="00574A12">
        <w:instrText xml:space="preserve"> 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574A12">
        <w:fldChar w:fldCharType="separate"/>
      </w:r>
      <w:r w:rsidR="00574A12" w:rsidRPr="00574A12">
        <w:rPr>
          <w:rFonts w:ascii="Calibri" w:hAnsi="Calibri" w:cs="Calibri"/>
        </w:rPr>
        <w:t>(Sayer and Wells, 2004)</w:t>
      </w:r>
      <w:r w:rsidR="00574A12">
        <w:fldChar w:fldCharType="end"/>
      </w:r>
      <w:r>
        <w:t xml:space="preserve">. </w:t>
      </w:r>
    </w:p>
    <w:p w14:paraId="02A7E14A" w14:textId="1C865102"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82" w:name="__Fieldmark__1119_362668386"/>
      <w:r>
        <w:rPr>
          <w:rFonts w:cs="Calibri"/>
        </w:rPr>
        <w:t>(Clark et al., 2018)</w:t>
      </w:r>
      <w:r>
        <w:fldChar w:fldCharType="end"/>
      </w:r>
      <w:bookmarkEnd w:id="82"/>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83" w:name="__Fieldmark__1124_362668386"/>
      <w:r>
        <w:rPr>
          <w:rFonts w:cs="Calibri"/>
        </w:rPr>
        <w:t>(Evans et al., 2020)</w:t>
      </w:r>
      <w:r>
        <w:fldChar w:fldCharType="end"/>
      </w:r>
      <w:bookmarkEnd w:id="83"/>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84" w:name="__Fieldmark__1129_362668386"/>
      <w:r>
        <w:rPr>
          <w:rFonts w:cs="Calibri"/>
        </w:rPr>
        <w:t>(Lytras et al., 2021)</w:t>
      </w:r>
      <w:r>
        <w:fldChar w:fldCharType="end"/>
      </w:r>
      <w:bookmarkEnd w:id="84"/>
      <w:r>
        <w:t xml:space="preserve"> is likely to cause a decrease in government spending on conservation, at least in </w:t>
      </w:r>
      <w:r>
        <w:lastRenderedPageBreak/>
        <w:t xml:space="preserve">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85" w:name="__Fieldmark__1134_362668386"/>
      <w:r>
        <w:rPr>
          <w:rFonts w:cs="Calibri"/>
        </w:rPr>
        <w:t>(Corlett et al., 2020; Evans et al., 2020)</w:t>
      </w:r>
      <w:r>
        <w:fldChar w:fldCharType="end"/>
      </w:r>
      <w:bookmarkEnd w:id="85"/>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86" w:name="__Fieldmark__1139_362668386"/>
      <w:r>
        <w:rPr>
          <w:rFonts w:cs="Calibri"/>
        </w:rPr>
        <w:t>(Echols et al., 2019)</w:t>
      </w:r>
      <w:r>
        <w:fldChar w:fldCharType="end"/>
      </w:r>
      <w:bookmarkEnd w:id="86"/>
      <w:r>
        <w:t>.</w:t>
      </w:r>
    </w:p>
    <w:p w14:paraId="7D7A8F73" w14:textId="03AEF19E"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87" w:name="__Fieldmark__1146_362668386"/>
      <w:r>
        <w:rPr>
          <w:rFonts w:cs="Calibri"/>
        </w:rPr>
        <w:t>(Gruby et al., 2021)</w:t>
      </w:r>
      <w:r>
        <w:fldChar w:fldCharType="end"/>
      </w:r>
      <w:bookmarkEnd w:id="87"/>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88" w:name="__Fieldmark__1151_362668386"/>
      <w:r>
        <w:rPr>
          <w:rFonts w:cs="Calibri"/>
        </w:rPr>
        <w:t>(Betsill et al., 2021)</w:t>
      </w:r>
      <w:r>
        <w:fldChar w:fldCharType="end"/>
      </w:r>
      <w:bookmarkEnd w:id="88"/>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89" w:name="__Fieldmark__1157_362668386"/>
      <w:r>
        <w:rPr>
          <w:rFonts w:cs="Calibri"/>
        </w:rPr>
        <w:t>(Freeling and Connell, 2020)</w:t>
      </w:r>
      <w:r>
        <w:fldChar w:fldCharType="end"/>
      </w:r>
      <w:bookmarkEnd w:id="89"/>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6">
        <w:r>
          <w:rPr>
            <w:rStyle w:val="InternetLink"/>
          </w:rPr>
          <w:t>www.biocarbonfund-isfl.org</w:t>
        </w:r>
      </w:hyperlink>
      <w:r>
        <w:t>), the Global Environment Facility (</w:t>
      </w:r>
      <w:hyperlink r:id="rId17">
        <w:r>
          <w:rPr>
            <w:rStyle w:val="InternetLink"/>
          </w:rPr>
          <w:t>www.thegef.org</w:t>
        </w:r>
      </w:hyperlink>
      <w:r>
        <w:t>), and the Green Climate Fund (</w:t>
      </w:r>
      <w:r>
        <w:rPr>
          <w:rStyle w:val="InternetLink"/>
        </w:rPr>
        <w:t>www.greenclimate.fund</w:t>
      </w:r>
      <w:r>
        <w:rPr>
          <w:rStyle w:val="InternetLink"/>
          <w:color w:val="auto"/>
          <w:u w:val="none"/>
        </w:rPr>
        <w:t xml:space="preserve">), </w:t>
      </w:r>
      <w:commentRangeStart w:id="90"/>
      <w:r>
        <w:rPr>
          <w:rStyle w:val="InternetLink"/>
          <w:color w:val="auto"/>
          <w:u w:val="none"/>
        </w:rPr>
        <w:t>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91" w:name="__Fieldmark__1174_362668386"/>
      <w:r>
        <w:rPr>
          <w:rFonts w:cs="Calibri"/>
        </w:rPr>
        <w:t>(Clark et al., 2018)</w:t>
      </w:r>
      <w:r>
        <w:fldChar w:fldCharType="end"/>
      </w:r>
      <w:bookmarkEnd w:id="91"/>
      <w:r>
        <w:t xml:space="preserve">. </w:t>
      </w:r>
      <w:commentRangeEnd w:id="90"/>
      <w:r w:rsidR="00F0154B">
        <w:rPr>
          <w:rStyle w:val="CommentReference"/>
        </w:rPr>
        <w:commentReference w:id="90"/>
      </w:r>
    </w:p>
    <w:p w14:paraId="007F8FB9" w14:textId="7FFDE893" w:rsidR="00BC1DD8" w:rsidRDefault="00640B53" w:rsidP="00BC1DD8">
      <w:r>
        <w:t>Payment for environmental services (PES) schemes are market-based mechanism</w:t>
      </w:r>
      <w:r w:rsidR="003F20B0">
        <w:t>s</w:t>
      </w:r>
      <w:r>
        <w:t xml:space="preserve"> that can provide additional, and potentially long-term, funding for conservation by </w:t>
      </w:r>
      <w:r w:rsidR="00803620">
        <w:t xml:space="preserve">providing financial incentives for certain land management practices that </w:t>
      </w:r>
      <w:r w:rsidR="003F20B0">
        <w:t xml:space="preserve">preserve benefits generated by natural systems </w:t>
      </w:r>
      <w:r w:rsidR="003F20B0">
        <w:fldChar w:fldCharType="begin"/>
      </w:r>
      <w:r w:rsidR="003F20B0">
        <w:instrText xml:space="preserve"> 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3F20B0">
        <w:fldChar w:fldCharType="separate"/>
      </w:r>
      <w:r w:rsidR="003F20B0" w:rsidRPr="003F20B0">
        <w:rPr>
          <w:rFonts w:ascii="Calibri" w:hAnsi="Calibri" w:cs="Calibri"/>
        </w:rPr>
        <w:t>(Redford and Adams, 2009)</w:t>
      </w:r>
      <w:r w:rsidR="003F20B0">
        <w:fldChar w:fldCharType="end"/>
      </w:r>
      <w:r w:rsidR="003F20B0">
        <w:t xml:space="preserve">. </w:t>
      </w:r>
      <w:r w:rsidR="00A457CE">
        <w:t xml:space="preserve">Over the last two decades, the number of PES programmes have expanded rapidly around the world, with over 550 active programmes covering watersheds, biodiversity and habitats, and forest and carbon </w:t>
      </w:r>
      <w:r w:rsidR="00A457CE">
        <w:fldChar w:fldCharType="begin"/>
      </w:r>
      <w:r w:rsidR="00A457CE">
        <w:instrText xml:space="preserve"> 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457CE">
        <w:fldChar w:fldCharType="separate"/>
      </w:r>
      <w:r w:rsidR="00A457CE" w:rsidRPr="00A457CE">
        <w:rPr>
          <w:rFonts w:ascii="Calibri" w:hAnsi="Calibri" w:cs="Calibri"/>
        </w:rPr>
        <w:t>(Salzman et al., 2018)</w:t>
      </w:r>
      <w:r w:rsidR="00A457CE">
        <w:fldChar w:fldCharType="end"/>
      </w:r>
      <w:r w:rsidR="00A457CE">
        <w:t xml:space="preserve">. </w:t>
      </w:r>
      <w:r w:rsidR="00733289">
        <w:t xml:space="preserve">In contrast to traditional grant-based funding, PES has the potential to provide steady, long-term funds for conservation </w:t>
      </w:r>
      <w:r w:rsidR="00733289">
        <w:fldChar w:fldCharType="begin"/>
      </w:r>
      <w:r w:rsidR="00733289">
        <w:instrText xml:space="preserve"> 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 </w:instrText>
      </w:r>
      <w:r w:rsidR="00733289">
        <w:fldChar w:fldCharType="separate"/>
      </w:r>
      <w:r w:rsidR="00733289" w:rsidRPr="00733289">
        <w:rPr>
          <w:rFonts w:ascii="Calibri" w:hAnsi="Calibri" w:cs="Calibri"/>
        </w:rPr>
        <w:t>(Hein et al., 2013)</w:t>
      </w:r>
      <w:r w:rsidR="00733289">
        <w:fldChar w:fldCharType="end"/>
      </w:r>
      <w:r w:rsidR="00733289">
        <w:t xml:space="preserve">. This potential is, however, contingent on the motivations of participants of a given scheme and their willingness to participate over the long-term </w:t>
      </w:r>
      <w:r w:rsidR="00733289">
        <w:fldChar w:fldCharType="begin"/>
      </w:r>
      <w:r w:rsidR="00733289">
        <w:instrText xml:space="preserve"> 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 </w:instrText>
      </w:r>
      <w:r w:rsidR="00733289">
        <w:fldChar w:fldCharType="separate"/>
      </w:r>
      <w:r w:rsidR="00733289" w:rsidRPr="00733289">
        <w:rPr>
          <w:rFonts w:ascii="Calibri" w:hAnsi="Calibri" w:cs="Calibri"/>
        </w:rPr>
        <w:t>(Fisher, 2012)</w:t>
      </w:r>
      <w:r w:rsidR="00733289">
        <w:fldChar w:fldCharType="end"/>
      </w:r>
      <w:r w:rsidR="00733289">
        <w:t xml:space="preserve">. There are many case studies that demonstrate successful PES projects </w:t>
      </w:r>
      <w:r w:rsidR="00733289">
        <w:fldChar w:fldCharType="begin"/>
      </w:r>
      <w:r w:rsidR="00BC1DD8">
        <w:instrText xml:space="preserve"> ADDIN ZOTERO_ITEM CSL_CITATION {"citationID":"bdsaExIY","properties":{"formattedCitation":"(Clements and Milner-Gulland, 2015; Ingram et al., 2014; Jayachandran et al., 2016; Zheng et al., 2013)","plainCitation":"(Clements and Milner-Gulland, 2015; Ingram et al., 2014; Jayachandran et al., 2016; Zheng et al., 2013)","noteIndex":0},"citationItems":[{"id":2854,"uris":["http://zotero.org/users/2170232/items/Y6P4VP5J"],"uri":["http://zotero.org/users/2170232/items/Y6P4VP5J"],"itemData":{"id":2854,"type":"article-journal","abstract":"The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 </w:instrText>
      </w:r>
      <w:r w:rsidR="00733289">
        <w:fldChar w:fldCharType="separate"/>
      </w:r>
      <w:r w:rsidR="00BC1DD8" w:rsidRPr="00BC1DD8">
        <w:rPr>
          <w:rFonts w:ascii="Calibri" w:hAnsi="Calibri" w:cs="Calibri"/>
        </w:rPr>
        <w:t>(</w:t>
      </w:r>
      <w:r w:rsidR="00BC1DD8">
        <w:rPr>
          <w:rFonts w:ascii="Calibri" w:hAnsi="Calibri" w:cs="Calibri"/>
        </w:rPr>
        <w:t xml:space="preserve">e.g., </w:t>
      </w:r>
      <w:r w:rsidR="00BC1DD8" w:rsidRPr="00BC1DD8">
        <w:rPr>
          <w:rFonts w:ascii="Calibri" w:hAnsi="Calibri" w:cs="Calibri"/>
        </w:rPr>
        <w:t>Clements and Milner-Gulland, 2015; Ingram et al., 2014; Jayachandran et al., 2016; Zheng et al., 2013)</w:t>
      </w:r>
      <w:r w:rsidR="00733289">
        <w:fldChar w:fldCharType="end"/>
      </w:r>
      <w:r w:rsidR="00180B63">
        <w:t>, yet</w:t>
      </w:r>
      <w:r w:rsidR="00AB2E08">
        <w:t xml:space="preserve"> a lack of effective monitoring of PES programmes globally means</w:t>
      </w:r>
      <w:r w:rsidR="00180B63">
        <w:t xml:space="preserve"> </w:t>
      </w:r>
      <w:r w:rsidR="00AB2E08">
        <w:t xml:space="preserve">there is still insufficient evidence that these market-based mechanisms provide a net benefit to nature </w:t>
      </w:r>
      <w:r w:rsidR="00AB2E08">
        <w:fldChar w:fldCharType="begin"/>
      </w:r>
      <w:r w:rsidR="00BC1DD8">
        <w:instrText xml:space="preserve"> 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B2E08">
        <w:fldChar w:fldCharType="separate"/>
      </w:r>
      <w:r w:rsidR="00BC1DD8" w:rsidRPr="00BC1DD8">
        <w:rPr>
          <w:rFonts w:ascii="Calibri" w:hAnsi="Calibri" w:cs="Calibri"/>
        </w:rPr>
        <w:t>(Ingram et al., 2014; Salzman et al., 2018)</w:t>
      </w:r>
      <w:r w:rsidR="00AB2E08">
        <w:fldChar w:fldCharType="end"/>
      </w:r>
      <w:r w:rsidR="00AB2E08">
        <w:t xml:space="preserve">. Although likely an important component of the conservation toolbox, </w:t>
      </w:r>
      <w:r w:rsidR="00BC1DD8">
        <w:t>and a potential source of stable, long-term funding for conservation, the development of PES projects should be careful, context-specific, and designed with robust monitoring to ensure</w:t>
      </w:r>
      <w:r w:rsidR="00574A12">
        <w:t xml:space="preserve"> long-term</w:t>
      </w:r>
      <w:r w:rsidR="00BC1DD8">
        <w:t xml:space="preserve"> effectiveness </w:t>
      </w:r>
      <w:r w:rsidR="00BC1DD8">
        <w:fldChar w:fldCharType="begin"/>
      </w:r>
      <w:r w:rsidR="00BC1DD8">
        <w:instrText xml:space="preserve"> 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BC1DD8">
        <w:fldChar w:fldCharType="separate"/>
      </w:r>
      <w:r w:rsidR="00BC1DD8" w:rsidRPr="00BC1DD8">
        <w:rPr>
          <w:rFonts w:ascii="Calibri" w:hAnsi="Calibri" w:cs="Calibri"/>
        </w:rPr>
        <w:t>(Hein et al., 2013; Redford and Adams, 2009)</w:t>
      </w:r>
      <w:r w:rsidR="00BC1DD8">
        <w:fldChar w:fldCharType="end"/>
      </w:r>
      <w:r w:rsidR="00BC1DD8">
        <w:t xml:space="preserve">.  </w:t>
      </w:r>
    </w:p>
    <w:p w14:paraId="61DE1821" w14:textId="41051851" w:rsidR="002D4DF5" w:rsidRDefault="00622F30">
      <w:r>
        <w:t>Another</w:t>
      </w:r>
      <w:r w:rsidR="0089199E">
        <w:t xml:space="preserve"> promising avenue for </w:t>
      </w:r>
      <w:r>
        <w:t xml:space="preserve">market-based </w:t>
      </w:r>
      <w:r w:rsidR="0089199E">
        <w:t xml:space="preserve">environmental funding is private finance, the power of which is yet to be fully realised </w:t>
      </w:r>
      <w:r w:rsidR="0089199E">
        <w:fldChar w:fldCharType="begin"/>
      </w:r>
      <w:r w:rsidR="0089199E">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92" w:name="__Fieldmark__1181_362668386"/>
      <w:r w:rsidR="0089199E">
        <w:rPr>
          <w:rFonts w:cs="Calibri"/>
        </w:rPr>
        <w:t>(Clark et al., 2018)</w:t>
      </w:r>
      <w:r w:rsidR="0089199E">
        <w:fldChar w:fldCharType="end"/>
      </w:r>
      <w:bookmarkEnd w:id="92"/>
      <w:r w:rsidR="0089199E">
        <w:t xml:space="preserve">. This is largely because the environmental sector has thus far failed to provide projects that are investable, scalable, and low risk </w:t>
      </w:r>
      <w:r w:rsidR="0089199E">
        <w:fldChar w:fldCharType="begin"/>
      </w:r>
      <w:r w:rsidR="0089199E">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rsidR="0089199E">
        <w:fldChar w:fldCharType="separate"/>
      </w:r>
      <w:bookmarkStart w:id="93" w:name="__Fieldmark__1186_362668386"/>
      <w:r w:rsidR="0089199E">
        <w:rPr>
          <w:rFonts w:cs="Calibri"/>
        </w:rPr>
        <w:t>(McFarland, 2018)</w:t>
      </w:r>
      <w:r w:rsidR="0089199E">
        <w:fldChar w:fldCharType="end"/>
      </w:r>
      <w:bookmarkEnd w:id="93"/>
      <w:r w:rsidR="0089199E">
        <w:t xml:space="preserve">. Leveraging of private sector finance is increasing, and is being achieved through a variety of mechanisms including 1) national development banks which provide credit and finance to underfunded areas of society </w:t>
      </w:r>
      <w:r w:rsidR="0089199E">
        <w:fldChar w:fldCharType="begin"/>
      </w:r>
      <w:r w:rsidR="0089199E">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rsidR="0089199E">
        <w:fldChar w:fldCharType="separate"/>
      </w:r>
      <w:bookmarkStart w:id="94" w:name="__Fieldmark__1191_362668386"/>
      <w:r w:rsidR="0089199E">
        <w:rPr>
          <w:rFonts w:cs="Calibri"/>
        </w:rPr>
        <w:t>(Torres and Zeidan, 2016)</w:t>
      </w:r>
      <w:r w:rsidR="0089199E">
        <w:fldChar w:fldCharType="end"/>
      </w:r>
      <w:bookmarkEnd w:id="94"/>
      <w:r w:rsidR="0089199E">
        <w:t xml:space="preserve">; 2) blended finance, which combines public and private finance through traditional mechanisms such as public-private partnerships, and through more novel mechanisms including development finance institutions </w:t>
      </w:r>
      <w:r w:rsidR="0089199E">
        <w:fldChar w:fldCharType="begin"/>
      </w:r>
      <w:r w:rsidR="0089199E">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95" w:name="__Fieldmark__1196_362668386"/>
      <w:r w:rsidR="0089199E">
        <w:rPr>
          <w:rFonts w:cs="Calibri"/>
        </w:rPr>
        <w:t>(Clark et al., 2018)</w:t>
      </w:r>
      <w:r w:rsidR="0089199E">
        <w:fldChar w:fldCharType="end"/>
      </w:r>
      <w:bookmarkEnd w:id="95"/>
      <w:r w:rsidR="0089199E">
        <w:t>; 3) custom-built partnerships between the private sector and governments, civil society, and non-governmental organisations, for example the Tropical Landscapes Finance Facility (</w:t>
      </w:r>
      <w:hyperlink r:id="rId18">
        <w:r w:rsidR="0089199E">
          <w:rPr>
            <w:rStyle w:val="InternetLink"/>
          </w:rPr>
          <w:t>www.tlffindonesia.org</w:t>
        </w:r>
      </w:hyperlink>
      <w:r w:rsidR="0089199E">
        <w:t xml:space="preserve">) which provide long-term financing to support sustainable land use; 4) green bonds, which raise funds for projects that contribute to a more sustainable economy and deliver benefits to the environment </w:t>
      </w:r>
      <w:r w:rsidR="0089199E">
        <w:fldChar w:fldCharType="begin"/>
      </w:r>
      <w:r w:rsidR="0089199E">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96" w:name="__Fieldmark__1206_362668386"/>
      <w:r w:rsidR="0089199E">
        <w:rPr>
          <w:rFonts w:cs="Calibri"/>
        </w:rPr>
        <w:t>(Sachs et al., 2019)</w:t>
      </w:r>
      <w:r w:rsidR="0089199E">
        <w:fldChar w:fldCharType="end"/>
      </w:r>
      <w:bookmarkEnd w:id="96"/>
      <w:r w:rsidR="0089199E">
        <w:t xml:space="preserve">, 5) conservation finance, which is a broad term that describes financial solutions </w:t>
      </w:r>
      <w:r w:rsidR="0089199E">
        <w:lastRenderedPageBreak/>
        <w:t xml:space="preserve">that deliver conservation gains </w:t>
      </w:r>
      <w:r w:rsidR="0089199E">
        <w:rPr>
          <w:i/>
          <w:iCs/>
        </w:rPr>
        <w:t>and</w:t>
      </w:r>
      <w:r w:rsidR="0089199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89199E">
        <w:fldChar w:fldCharType="begin"/>
      </w:r>
      <w:r w:rsidR="0089199E">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rsidR="0089199E">
        <w:fldChar w:fldCharType="separate"/>
      </w:r>
      <w:bookmarkStart w:id="97" w:name="__Fieldmark__1213_362668386"/>
      <w:r w:rsidR="0089199E">
        <w:rPr>
          <w:rFonts w:cs="Calibri"/>
        </w:rPr>
        <w:t>(Huwyler et al., 2016)</w:t>
      </w:r>
      <w:r w:rsidR="0089199E">
        <w:fldChar w:fldCharType="end"/>
      </w:r>
      <w:bookmarkEnd w:id="97"/>
      <w:r w:rsidR="0089199E">
        <w:t xml:space="preserve">; 6) carbon market instruments such as REDD+ and the Green Climate Fund </w:t>
      </w:r>
      <w:r w:rsidR="0089199E">
        <w:fldChar w:fldCharType="begin"/>
      </w:r>
      <w:r w:rsidR="0089199E">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98" w:name="__Fieldmark__1218_362668386"/>
      <w:r w:rsidR="0089199E">
        <w:rPr>
          <w:rFonts w:cs="Calibri"/>
        </w:rPr>
        <w:t>(Sachs et al., 2019)</w:t>
      </w:r>
      <w:r w:rsidR="0089199E">
        <w:fldChar w:fldCharType="end"/>
      </w:r>
      <w:bookmarkEnd w:id="98"/>
      <w:r w:rsidR="0089199E">
        <w:t xml:space="preserve">; 7) other ‘green finance’ mechanisms such as impact investing, fiscal policy, green central banking, and community-based green funds </w:t>
      </w:r>
      <w:r w:rsidR="0089199E">
        <w:fldChar w:fldCharType="begin"/>
      </w:r>
      <w:r w:rsidR="0089199E">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99" w:name="__Fieldmark__1223_362668386"/>
      <w:r w:rsidR="0089199E">
        <w:rPr>
          <w:rFonts w:cs="Calibri"/>
        </w:rPr>
        <w:t>(Sachs et al., 2019)</w:t>
      </w:r>
      <w:r w:rsidR="0089199E">
        <w:fldChar w:fldCharType="end"/>
      </w:r>
      <w:bookmarkEnd w:id="99"/>
      <w:r w:rsidR="0089199E">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100" w:name="__Fieldmark__1232_362668386"/>
      <w:r>
        <w:rPr>
          <w:rFonts w:cs="Calibri"/>
        </w:rPr>
        <w:t>(Kaiser, 2015)</w:t>
      </w:r>
      <w:r>
        <w:fldChar w:fldCharType="end"/>
      </w:r>
      <w:bookmarkEnd w:id="100"/>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5A22DC42" w14:textId="77777777" w:rsidR="003D7D4E"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4BCCEE77" w14:textId="6DB094B8" w:rsidR="002D4DF5" w:rsidRDefault="002D4DF5"/>
    <w:p w14:paraId="2A464DD5" w14:textId="6624A8F0" w:rsidR="00BF25B7" w:rsidRDefault="00BF25B7"/>
    <w:p w14:paraId="2771E0BF" w14:textId="56C7C5E5" w:rsidR="00BF25B7" w:rsidRDefault="00BF25B7"/>
    <w:p w14:paraId="48FFB91C" w14:textId="156D35A0" w:rsidR="00BF25B7" w:rsidRDefault="00BF25B7"/>
    <w:p w14:paraId="19AEF56C" w14:textId="6809EFD9" w:rsidR="00BF25B7" w:rsidRDefault="00BF25B7"/>
    <w:p w14:paraId="604339D6" w14:textId="0E0EB710" w:rsidR="00BF25B7" w:rsidRDefault="00BF25B7"/>
    <w:p w14:paraId="65919F00" w14:textId="1E8DBA10" w:rsidR="00BF25B7" w:rsidRDefault="00BF25B7"/>
    <w:p w14:paraId="3E27C357" w14:textId="167DBE0B" w:rsidR="00BF25B7" w:rsidRDefault="00BF25B7"/>
    <w:p w14:paraId="70F072E0" w14:textId="5373F522" w:rsidR="00BF25B7" w:rsidRDefault="00BF25B7"/>
    <w:p w14:paraId="228FF9A3" w14:textId="0868A55B" w:rsidR="00BF25B7" w:rsidRDefault="00BF25B7"/>
    <w:p w14:paraId="319C3DF2" w14:textId="520134FF" w:rsidR="00BF25B7" w:rsidRDefault="00BF25B7"/>
    <w:p w14:paraId="135AEA70" w14:textId="21E08F53" w:rsidR="00BF25B7" w:rsidRDefault="00BF25B7"/>
    <w:p w14:paraId="3EE72550" w14:textId="448F56D0" w:rsidR="00BF25B7" w:rsidRDefault="00BF25B7"/>
    <w:p w14:paraId="4A0240DB" w14:textId="537EDC7C" w:rsidR="00BF25B7" w:rsidRDefault="00BF25B7"/>
    <w:p w14:paraId="44DD7376" w14:textId="7EA35DB7" w:rsidR="00BF25B7" w:rsidRDefault="00BF25B7"/>
    <w:p w14:paraId="7FF5993F" w14:textId="0C04F7EE" w:rsidR="00BF25B7" w:rsidRDefault="00BF25B7"/>
    <w:p w14:paraId="35A82A9F" w14:textId="4B221C38" w:rsidR="00BF25B7" w:rsidRDefault="00BF25B7">
      <w:pPr>
        <w:rPr>
          <w:b/>
          <w:bCs/>
        </w:rPr>
      </w:pPr>
      <w:r>
        <w:rPr>
          <w:b/>
          <w:bCs/>
        </w:rPr>
        <w:lastRenderedPageBreak/>
        <w:t xml:space="preserve">References </w:t>
      </w:r>
    </w:p>
    <w:p w14:paraId="06F12803" w14:textId="77777777" w:rsidR="00BF25B7" w:rsidRPr="00BF25B7" w:rsidRDefault="00BF25B7" w:rsidP="00BF25B7">
      <w:pPr>
        <w:pStyle w:val="Bibliography"/>
        <w:rPr>
          <w:rFonts w:ascii="Calibri" w:hAnsi="Calibri" w:cs="Calibri"/>
        </w:rPr>
      </w:pPr>
      <w:r>
        <w:fldChar w:fldCharType="begin"/>
      </w:r>
      <w:r>
        <w:instrText xml:space="preserve"> ADDIN ZOTERO_BIBL {"uncited":[],"omitted":[],"custom":[]} CSL_BIBLIOGRAPHY </w:instrText>
      </w:r>
      <w:r>
        <w:fldChar w:fldCharType="separate"/>
      </w:r>
      <w:r w:rsidRPr="00BF25B7">
        <w:rPr>
          <w:rFonts w:ascii="Calibri" w:hAnsi="Calibri" w:cs="Calibri"/>
        </w:rPr>
        <w:t>Andrade, G.S.M., Rhodes, J.R., 2012. Protected Areas and Local Communities: an Inevitable Partnership toward Successful Conservation Strategies? Ecol. Soc. 17. https://doi.org/10.5751/ES-05216-170414</w:t>
      </w:r>
    </w:p>
    <w:p w14:paraId="6C98BFCC" w14:textId="77777777" w:rsidR="00BF25B7" w:rsidRPr="00BF25B7" w:rsidRDefault="00BF25B7" w:rsidP="00BF25B7">
      <w:pPr>
        <w:pStyle w:val="Bibliography"/>
        <w:rPr>
          <w:rFonts w:ascii="Calibri" w:hAnsi="Calibri" w:cs="Calibri"/>
        </w:rPr>
      </w:pPr>
      <w:r w:rsidRPr="00BF25B7">
        <w:rPr>
          <w:rFonts w:ascii="Calibri" w:hAnsi="Calibri" w:cs="Calibri"/>
        </w:rPr>
        <w:t>Armsworth, P.R., Jackson, H.B., Cho, S.-H., Clark, M., Fargione, J.E., Iacona, G.D., Kim, T., Larson, E.R., Minney, T., Sutton, N.A., 2018. Is conservation right to go big? Protected area size and conservation return-on-investment. Biol. Conserv. 225, 229–236. https://doi.org/10.1016/j.biocon.2018.07.005</w:t>
      </w:r>
    </w:p>
    <w:p w14:paraId="3B02E49A" w14:textId="77777777" w:rsidR="00BF25B7" w:rsidRPr="00BF25B7" w:rsidRDefault="00BF25B7" w:rsidP="00BF25B7">
      <w:pPr>
        <w:pStyle w:val="Bibliography"/>
        <w:rPr>
          <w:rFonts w:ascii="Calibri" w:hAnsi="Calibri" w:cs="Calibri"/>
        </w:rPr>
      </w:pPr>
      <w:r w:rsidRPr="00BF25B7">
        <w:rPr>
          <w:rFonts w:ascii="Calibri" w:hAnsi="Calibri" w:cs="Calibri"/>
        </w:rPr>
        <w:t>Bang, A., Khadakkar, S., 2020. Opinion: Biodiversity conservation during a global crisis: Consequences and the way forward. Proc. Natl. Acad. Sci. 117, 29995–29999. https://doi.org/10.1073/pnas.2021460117</w:t>
      </w:r>
    </w:p>
    <w:p w14:paraId="7908CC92" w14:textId="77777777" w:rsidR="00BF25B7" w:rsidRPr="00BF25B7" w:rsidRDefault="00BF25B7" w:rsidP="00BF25B7">
      <w:pPr>
        <w:pStyle w:val="Bibliography"/>
        <w:rPr>
          <w:rFonts w:ascii="Calibri" w:hAnsi="Calibri" w:cs="Calibri"/>
        </w:rPr>
      </w:pPr>
      <w:r w:rsidRPr="00BF25B7">
        <w:rPr>
          <w:rFonts w:ascii="Calibri" w:hAnsi="Calibri" w:cs="Calibri"/>
        </w:rPr>
        <w:t>Barnes, M.D., Glew, L., Wyborn, C., Craigie, I.D., 2018. Prevent perverse outcomes from global protected area policy. Nat. Ecol. Evol. 1. https://doi.org/10.1038/s41559-018-0501-y</w:t>
      </w:r>
    </w:p>
    <w:p w14:paraId="619CFB11" w14:textId="77777777" w:rsidR="00BF25B7" w:rsidRPr="00BF25B7" w:rsidRDefault="00BF25B7" w:rsidP="00BF25B7">
      <w:pPr>
        <w:pStyle w:val="Bibliography"/>
        <w:rPr>
          <w:rFonts w:ascii="Calibri" w:hAnsi="Calibri" w:cs="Calibri"/>
        </w:rPr>
      </w:pPr>
      <w:r w:rsidRPr="00BF25B7">
        <w:rPr>
          <w:rFonts w:ascii="Calibri" w:hAnsi="Calibri" w:cs="Calibri"/>
        </w:rPr>
        <w:t>Berkes, F., Folke, C., Colding, J., 2000. Linking social and ecological systems: management practices and social mechanisms for building resilience. Cambridge University Press.</w:t>
      </w:r>
    </w:p>
    <w:p w14:paraId="5E58A918" w14:textId="77777777" w:rsidR="00BF25B7" w:rsidRPr="00BF25B7" w:rsidRDefault="00BF25B7" w:rsidP="00BF25B7">
      <w:pPr>
        <w:pStyle w:val="Bibliography"/>
        <w:rPr>
          <w:rFonts w:ascii="Calibri" w:hAnsi="Calibri" w:cs="Calibri"/>
        </w:rPr>
      </w:pPr>
      <w:r w:rsidRPr="00BF25B7">
        <w:rPr>
          <w:rFonts w:ascii="Calibri" w:hAnsi="Calibri" w:cs="Calibri"/>
        </w:rPr>
        <w:t>Betsill, M.M., Enrici, A., Le Cornu, E., Gruby, R.L., 2021. Philanthropic foundations as agents of environmental governance:a research agenda. Environ. Polit. 0, 1–22. https://doi.org/10.1080/09644016.2021.1955494</w:t>
      </w:r>
    </w:p>
    <w:p w14:paraId="0A5BE978" w14:textId="77777777" w:rsidR="00BF25B7" w:rsidRPr="00BF25B7" w:rsidRDefault="00BF25B7" w:rsidP="00BF25B7">
      <w:pPr>
        <w:pStyle w:val="Bibliography"/>
        <w:rPr>
          <w:rFonts w:ascii="Calibri" w:hAnsi="Calibri" w:cs="Calibri"/>
        </w:rPr>
      </w:pPr>
      <w:r w:rsidRPr="00BF25B7">
        <w:rPr>
          <w:rFonts w:ascii="Calibri" w:hAnsi="Calibri" w:cs="Calibri"/>
        </w:rPr>
        <w:t>Bruner, A.G., Gullison, R.E., Balmford, A., 2004. Financial Costs and Shortfalls of Managing and Expanding Protected-Area Systems in Developing Countries. BioScience 54, 1119–1126. https://doi.org/10.1641/0006-3568(2004)054[1119:FCASOM]2.0.CO;2</w:t>
      </w:r>
    </w:p>
    <w:p w14:paraId="03185BB7" w14:textId="77777777" w:rsidR="00BF25B7" w:rsidRPr="00BF25B7" w:rsidRDefault="00BF25B7" w:rsidP="00BF25B7">
      <w:pPr>
        <w:pStyle w:val="Bibliography"/>
        <w:rPr>
          <w:rFonts w:ascii="Calibri" w:hAnsi="Calibri" w:cs="Calibri"/>
        </w:rPr>
      </w:pPr>
      <w:r w:rsidRPr="00BF25B7">
        <w:rPr>
          <w:rFonts w:ascii="Calibri" w:hAnsi="Calibri" w:cs="Calibri"/>
        </w:rPr>
        <w:t>Bunnefeld, N., Hoshino, E., Milner-Gulland, E.J., 2011. Management strategy evaluation: a powerful tool for conservation? Trends Ecol. Evol. 26, 441–447. https://doi.org/10.1016/j.tree.2011.05.003</w:t>
      </w:r>
    </w:p>
    <w:p w14:paraId="58833B05" w14:textId="77777777" w:rsidR="00BF25B7" w:rsidRPr="00BF25B7" w:rsidRDefault="00BF25B7" w:rsidP="00BF25B7">
      <w:pPr>
        <w:pStyle w:val="Bibliography"/>
        <w:rPr>
          <w:rFonts w:ascii="Calibri" w:hAnsi="Calibri" w:cs="Calibri"/>
        </w:rPr>
      </w:pPr>
      <w:r w:rsidRPr="00BF25B7">
        <w:rPr>
          <w:rFonts w:ascii="Calibri" w:hAnsi="Calibri" w:cs="Calibri"/>
        </w:rPr>
        <w:t>Clark, R., Reed, J., Sunderland, T., 2018. Bridging funding gaps for climate and sustainable development: Pitfalls, progress and potential of private finance. Land Use Policy 71, 335–346. https://doi.org/10.1016/j.landusepol.2017.12.013</w:t>
      </w:r>
    </w:p>
    <w:p w14:paraId="3D7C09DB" w14:textId="77777777" w:rsidR="00BF25B7" w:rsidRPr="00BF25B7" w:rsidRDefault="00BF25B7" w:rsidP="00BF25B7">
      <w:pPr>
        <w:pStyle w:val="Bibliography"/>
        <w:rPr>
          <w:rFonts w:ascii="Calibri" w:hAnsi="Calibri" w:cs="Calibri"/>
        </w:rPr>
      </w:pPr>
      <w:r w:rsidRPr="00BF25B7">
        <w:rPr>
          <w:rFonts w:ascii="Calibri" w:hAnsi="Calibri" w:cs="Calibri"/>
        </w:rPr>
        <w:t>Clements, T., Milner-Gulland, E.J., 2015. Impact of payments for environmental services and protected areas on local livelihoods and forest conservation in northern Cambodia. Conserv. Biol. 29, 78–87. https://doi.org/10.1111/cobi.12423</w:t>
      </w:r>
    </w:p>
    <w:p w14:paraId="5A92FBA3" w14:textId="77777777" w:rsidR="00BF25B7" w:rsidRPr="00BF25B7" w:rsidRDefault="00BF25B7" w:rsidP="00BF25B7">
      <w:pPr>
        <w:pStyle w:val="Bibliography"/>
        <w:rPr>
          <w:rFonts w:ascii="Calibri" w:hAnsi="Calibri" w:cs="Calibri"/>
        </w:rPr>
      </w:pPr>
      <w:r w:rsidRPr="00BF25B7">
        <w:rPr>
          <w:rFonts w:ascii="Calibri" w:hAnsi="Calibri" w:cs="Calibri"/>
        </w:rPr>
        <w:t>Coad, L., Watson, J.E., Geldmann, J., Burgess, N.D., Leverington, F., Hockings, M., Knights, K., Marco, M.D., 2019. Widespread shortfalls in protected area resourcing undermine efforts to conserve biodiversity. Front. Ecol. Environ. 17, 259–264. https://doi.org/10.1002/fee.2042</w:t>
      </w:r>
    </w:p>
    <w:p w14:paraId="53CC7754" w14:textId="77777777" w:rsidR="00BF25B7" w:rsidRPr="00BF25B7" w:rsidRDefault="00BF25B7" w:rsidP="00BF25B7">
      <w:pPr>
        <w:pStyle w:val="Bibliography"/>
        <w:rPr>
          <w:rFonts w:ascii="Calibri" w:hAnsi="Calibri" w:cs="Calibri"/>
        </w:rPr>
      </w:pPr>
      <w:r w:rsidRPr="00BF25B7">
        <w:rPr>
          <w:rFonts w:ascii="Calibri" w:hAnsi="Calibri" w:cs="Calibri"/>
        </w:rPr>
        <w:t>Corlett, R.T., Primack, R.B., Devictor, V., Maas, B., Goswami, V.R., Bates, A.E., Koh, L.P., Regan, T.J., Loyola, R., Pakeman, R.J., Cumming, G.S., Pidgeon, A., Johns, D., Roth, R., 2020. Impacts of the coronavirus pandemic on biodiversity conservation. Biol. Conserv. 246, 108571. https://doi.org/10.1016/j.biocon.2020.108571</w:t>
      </w:r>
    </w:p>
    <w:p w14:paraId="660AA68F" w14:textId="77777777" w:rsidR="00BF25B7" w:rsidRPr="00BF25B7" w:rsidRDefault="00BF25B7" w:rsidP="00BF25B7">
      <w:pPr>
        <w:pStyle w:val="Bibliography"/>
        <w:rPr>
          <w:rFonts w:ascii="Calibri" w:hAnsi="Calibri" w:cs="Calibri"/>
        </w:rPr>
      </w:pPr>
      <w:r w:rsidRPr="00BF25B7">
        <w:rPr>
          <w:rFonts w:ascii="Calibri" w:hAnsi="Calibri" w:cs="Calibri"/>
        </w:rPr>
        <w:t>Cusack, J., Duthie, A., Minderman, J., Jones, I., Pozo, R., Rakotonarivo, O., Redpath, S., Bunnefeld, N., 2020. Integrating conflict, lobbying, and compliance to predict the sustainability of natural resource use. Ecol. Soc. 25. https://doi.org/10.5751/ES-11552-250213</w:t>
      </w:r>
    </w:p>
    <w:p w14:paraId="41A49C02" w14:textId="77777777" w:rsidR="00BF25B7" w:rsidRPr="00BF25B7" w:rsidRDefault="00BF25B7" w:rsidP="00BF25B7">
      <w:pPr>
        <w:pStyle w:val="Bibliography"/>
        <w:rPr>
          <w:rFonts w:ascii="Calibri" w:hAnsi="Calibri" w:cs="Calibri"/>
        </w:rPr>
      </w:pPr>
      <w:r w:rsidRPr="00BF25B7">
        <w:rPr>
          <w:rFonts w:ascii="Calibri" w:hAnsi="Calibri" w:cs="Calibri"/>
        </w:rPr>
        <w:t>Deutz, A., Heal, G.M., Niu, R., Swanson, E., Townsend, T., Li, Z., Delmar, A., Meghji, A., Sethi, S.A., Tobin-demla Puente, J., 2020. Financing nature: Closing the global biodiversity financing gap. The Paulson Institute, The Nature Conservancy, the Cornell Atkinson Center for Sustainability.</w:t>
      </w:r>
    </w:p>
    <w:p w14:paraId="6301CD52" w14:textId="77777777" w:rsidR="00BF25B7" w:rsidRPr="00BF25B7" w:rsidRDefault="00BF25B7" w:rsidP="00BF25B7">
      <w:pPr>
        <w:pStyle w:val="Bibliography"/>
        <w:rPr>
          <w:rFonts w:ascii="Calibri" w:hAnsi="Calibri" w:cs="Calibri"/>
        </w:rPr>
      </w:pPr>
      <w:r w:rsidRPr="00BF25B7">
        <w:rPr>
          <w:rFonts w:ascii="Calibri" w:hAnsi="Calibri" w:cs="Calibri"/>
        </w:rPr>
        <w:t>Doak, D.F., Mills, L.S., 1994. A Useful Role for Theory in Conservation. Ecology 75, 615–626. https://doi.org/10.2307/1941720</w:t>
      </w:r>
    </w:p>
    <w:p w14:paraId="572E9F66" w14:textId="77777777" w:rsidR="00BF25B7" w:rsidRPr="00BF25B7" w:rsidRDefault="00BF25B7" w:rsidP="00BF25B7">
      <w:pPr>
        <w:pStyle w:val="Bibliography"/>
        <w:rPr>
          <w:rFonts w:ascii="Calibri" w:hAnsi="Calibri" w:cs="Calibri"/>
        </w:rPr>
      </w:pPr>
      <w:r w:rsidRPr="00BF25B7">
        <w:rPr>
          <w:rFonts w:ascii="Calibri" w:hAnsi="Calibri" w:cs="Calibri"/>
        </w:rPr>
        <w:t>Duthie, A.B., Cusack, J.J., Jones, I.L., Minderman, J., Nilsen, E.B., Pozo, R.A., Rakotonarivo, O.S., Moorter, B.V., Bunnefeld, N., 2018a. GMSE: An r package for generalised management strategy evaluation. Methods Ecol. Evol. 9, 2396–2401. https://doi.org/10.1111/2041-210X.13091</w:t>
      </w:r>
    </w:p>
    <w:p w14:paraId="32A5F960"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Duthie, A.B., Cusack, J.J., Jones, I.L., Minderman, J., Nilsen, E.B., Pozo, R.A., Rakotonarivo, O.S., Van Moorter, B., Bunnefeld, N., 2018b. Supporting Information 1 from Duthie et al. 2018. The genetic algorithm of GMSE. Methods Ecol. Evol. 9.</w:t>
      </w:r>
    </w:p>
    <w:p w14:paraId="245CB23E" w14:textId="77777777" w:rsidR="00BF25B7" w:rsidRPr="00BF25B7" w:rsidRDefault="00BF25B7" w:rsidP="00BF25B7">
      <w:pPr>
        <w:pStyle w:val="Bibliography"/>
        <w:rPr>
          <w:rFonts w:ascii="Calibri" w:hAnsi="Calibri" w:cs="Calibri"/>
        </w:rPr>
      </w:pPr>
      <w:r w:rsidRPr="00BF25B7">
        <w:rPr>
          <w:rFonts w:ascii="Calibri" w:hAnsi="Calibri" w:cs="Calibri"/>
        </w:rPr>
        <w:t>Echols, A., Front, A., Cummins, J., 2019. Broadening conservation funding. Wildl. Soc. Bull. 43, 372–381. https://doi.org/10.1002/wsb.1003</w:t>
      </w:r>
    </w:p>
    <w:p w14:paraId="132EAA40" w14:textId="77777777" w:rsidR="00BF25B7" w:rsidRPr="00BF25B7" w:rsidRDefault="00BF25B7" w:rsidP="00BF25B7">
      <w:pPr>
        <w:pStyle w:val="Bibliography"/>
        <w:rPr>
          <w:rFonts w:ascii="Calibri" w:hAnsi="Calibri" w:cs="Calibri"/>
        </w:rPr>
      </w:pPr>
      <w:r w:rsidRPr="00BF25B7">
        <w:rPr>
          <w:rFonts w:ascii="Calibri" w:hAnsi="Calibri" w:cs="Calibri"/>
        </w:rPr>
        <w:t>Emerton, L., Bishop, J., Thomas, L., 2006. Sustainable financing of protected areas - A global review of challenges and options, Best Practice Protected Area Guidlines. IUCN, Gland, Switzerland.</w:t>
      </w:r>
    </w:p>
    <w:p w14:paraId="004615CC" w14:textId="77777777" w:rsidR="00BF25B7" w:rsidRPr="00BF25B7" w:rsidRDefault="00BF25B7" w:rsidP="00BF25B7">
      <w:pPr>
        <w:pStyle w:val="Bibliography"/>
        <w:rPr>
          <w:rFonts w:ascii="Calibri" w:hAnsi="Calibri" w:cs="Calibri"/>
        </w:rPr>
      </w:pPr>
      <w:r w:rsidRPr="00BF25B7">
        <w:rPr>
          <w:rFonts w:ascii="Calibri" w:hAnsi="Calibri" w:cs="Calibri"/>
        </w:rPr>
        <w:t>Ervin, J., 2003. Rapid Assessment of Protected Area Management Effectiveness in Four Countries. BioScience 53, 833–841. https://doi.org/10.1641/0006-3568(2003)053[0833:RAOPAM]2.0.CO;2</w:t>
      </w:r>
    </w:p>
    <w:p w14:paraId="1BBEDD99" w14:textId="77777777" w:rsidR="00BF25B7" w:rsidRPr="00BF25B7" w:rsidRDefault="00BF25B7" w:rsidP="00BF25B7">
      <w:pPr>
        <w:pStyle w:val="Bibliography"/>
        <w:rPr>
          <w:rFonts w:ascii="Calibri" w:hAnsi="Calibri" w:cs="Calibri"/>
        </w:rPr>
      </w:pPr>
      <w:r w:rsidRPr="00BF25B7">
        <w:rPr>
          <w:rFonts w:ascii="Calibri" w:hAnsi="Calibri" w:cs="Calibri"/>
        </w:rPr>
        <w:t>Evans, K.L., Ewen, J.G., Guillera-Arroita, G., Johnson, J.A., Penteriani, V., Ryan, S.J., Sollmann, R., Gordon, I.J., 2020. Conservation in the maelstrom of Covid-19 – a call to action to solve the challenges, exploit opportunities and prepare for the next pandemic. Anim. Conserv. 23, 235–238. https://doi.org/10.1111/acv.12601</w:t>
      </w:r>
    </w:p>
    <w:p w14:paraId="0447E9B0" w14:textId="77777777" w:rsidR="00BF25B7" w:rsidRPr="00BF25B7" w:rsidRDefault="00BF25B7" w:rsidP="00BF25B7">
      <w:pPr>
        <w:pStyle w:val="Bibliography"/>
        <w:rPr>
          <w:rFonts w:ascii="Calibri" w:hAnsi="Calibri" w:cs="Calibri"/>
        </w:rPr>
      </w:pPr>
      <w:r w:rsidRPr="00BF25B7">
        <w:rPr>
          <w:rFonts w:ascii="Calibri" w:hAnsi="Calibri" w:cs="Calibri"/>
        </w:rPr>
        <w:t>Fernandes, G.W., Vale, M.M., Overbeck, G.E., Bustamante, M.M.C., Grelle, C.E.V., Bergallo, H.G., Magnusson, W.E., Akama, A., Alves, S.S., Amorim, A., Araújo, J., Barros, C.F., Bravo, F., Carim, M.J.V., Cerqueira, R., Collevatti, R.G., Colli, G.R., da Cunha, C.N., D’Andrea, P.S., Dianese, J.C., Diniz, S., Estrela, P.C., Fernandes, M.R.M., Fontana, C.S., Giacomin, L.L., Gusmão, L.F.P., Juncá, F.A., Lins-e-Silva, A.C.B., Lopes, C.R.A.S., Lorini, M.L., de Queiroz, L.P., Malabarba, L.R., Marimon, B.S., Junior, B.H.M., Marques, M.C.M., Martinelli, B.M., Martins, M.B., de Medeiros, H.F., Menin, M., de Morais, P.B., Muniz, F.H., Neckel-Oliveira, S., de Oliveira, J.A., Oliveira, R.P., Pedroni, F., Penha, J., Podgaiski, L.R., Rodrigues, D.J., Scariot, A., Silveira, L.F., Silveira, M., Tomas, W.M., Vital, M.J.S., Pillar, V.D., 2017. Dismantling Brazil’s science threatens global biodiversity heritage. Perspect. Ecol. Conserv. 15, 239–243. https://doi.org/10.1016/j.pecon.2017.07.004</w:t>
      </w:r>
    </w:p>
    <w:p w14:paraId="55DCC227" w14:textId="77777777" w:rsidR="00BF25B7" w:rsidRPr="00BF25B7" w:rsidRDefault="00BF25B7" w:rsidP="00BF25B7">
      <w:pPr>
        <w:pStyle w:val="Bibliography"/>
        <w:rPr>
          <w:rFonts w:ascii="Calibri" w:hAnsi="Calibri" w:cs="Calibri"/>
        </w:rPr>
      </w:pPr>
      <w:r w:rsidRPr="00BF25B7">
        <w:rPr>
          <w:rFonts w:ascii="Calibri" w:hAnsi="Calibri" w:cs="Calibri"/>
        </w:rPr>
        <w:t>Fishburn, I.S., Boyer, A.G., Kareiva, P., Gaston, K.J., Armsworth, P.R., 2013. Changing spatial patterns of conservation investment by a major land trust. Biol. Conserv. 161, 223–229. https://doi.org/10.1016/j.biocon.2013.02.007</w:t>
      </w:r>
    </w:p>
    <w:p w14:paraId="11113B5F" w14:textId="77777777" w:rsidR="00BF25B7" w:rsidRPr="00BF25B7" w:rsidRDefault="00BF25B7" w:rsidP="00BF25B7">
      <w:pPr>
        <w:pStyle w:val="Bibliography"/>
        <w:rPr>
          <w:rFonts w:ascii="Calibri" w:hAnsi="Calibri" w:cs="Calibri"/>
        </w:rPr>
      </w:pPr>
      <w:r w:rsidRPr="00BF25B7">
        <w:rPr>
          <w:rFonts w:ascii="Calibri" w:hAnsi="Calibri" w:cs="Calibri"/>
        </w:rPr>
        <w:t>Fisher, J., 2012. No pay, no care? A case study exploring motivations for participation in payments for ecosystem services in Uganda. Oryx 46, 45–54. https://doi.org/10.1017/S0030605311001384</w:t>
      </w:r>
    </w:p>
    <w:p w14:paraId="5D1F5FE3" w14:textId="77777777" w:rsidR="00BF25B7" w:rsidRPr="00BF25B7" w:rsidRDefault="00BF25B7" w:rsidP="00BF25B7">
      <w:pPr>
        <w:pStyle w:val="Bibliography"/>
        <w:rPr>
          <w:rFonts w:ascii="Calibri" w:hAnsi="Calibri" w:cs="Calibri"/>
        </w:rPr>
      </w:pPr>
      <w:r w:rsidRPr="00BF25B7">
        <w:rPr>
          <w:rFonts w:ascii="Calibri" w:hAnsi="Calibri" w:cs="Calibri"/>
        </w:rPr>
        <w:t>Freeling, B.S., Connell, S.D., 2020. Funding Conservation through an Emerging Social Movement. Trends Ecol. Evol. 35, 3–6. https://doi.org/10.1016/j.tree.2019.09.002</w:t>
      </w:r>
    </w:p>
    <w:p w14:paraId="17AE6008" w14:textId="77777777" w:rsidR="00BF25B7" w:rsidRPr="00BF25B7" w:rsidRDefault="00BF25B7" w:rsidP="00BF25B7">
      <w:pPr>
        <w:pStyle w:val="Bibliography"/>
        <w:rPr>
          <w:rFonts w:ascii="Calibri" w:hAnsi="Calibri" w:cs="Calibri"/>
        </w:rPr>
      </w:pPr>
      <w:r w:rsidRPr="00BF25B7">
        <w:rPr>
          <w:rFonts w:ascii="Calibri" w:hAnsi="Calibri" w:cs="Calibri"/>
        </w:rPr>
        <w:t>Fryxell, J.M., Packer, C., McCann, K., Solberg, E.J., Sæther, B.-E., 2010. Resource Management Cycles and the Sustainability of Harvested Wildlife Populations. Science 328, 903–906. https://doi.org/10.1126/science.1185802</w:t>
      </w:r>
    </w:p>
    <w:p w14:paraId="17A6E136" w14:textId="77777777" w:rsidR="00BF25B7" w:rsidRPr="00BF25B7" w:rsidRDefault="00BF25B7" w:rsidP="00BF25B7">
      <w:pPr>
        <w:pStyle w:val="Bibliography"/>
        <w:rPr>
          <w:rFonts w:ascii="Calibri" w:hAnsi="Calibri" w:cs="Calibri"/>
        </w:rPr>
      </w:pPr>
      <w:r w:rsidRPr="00BF25B7">
        <w:rPr>
          <w:rFonts w:ascii="Calibri" w:hAnsi="Calibri" w:cs="Calibri"/>
        </w:rPr>
        <w:t>Gill, D.A., Mascia, M.B., Ahmadia, G.N., Glew, L., Lester, S.E., Barnes, M., Craigie, I., Darling, E.S., Free, C.M., Geldmann, J., Holst, S., Jensen, O.P., White, A.T., Basurto, X., Coad, L., Gates, R.D., Guannel, G., Mumby, P.J., Thomas, H., Whitmee, S., Woodley, S., Fox, H.E., 2017. Capacity shortfalls hinder the performance of marine protected areas globally. Nature 543, 665–669. https://doi.org/10.1038/nature21708</w:t>
      </w:r>
    </w:p>
    <w:p w14:paraId="781A80F9" w14:textId="77777777" w:rsidR="00BF25B7" w:rsidRPr="00BF25B7" w:rsidRDefault="00BF25B7" w:rsidP="00BF25B7">
      <w:pPr>
        <w:pStyle w:val="Bibliography"/>
        <w:rPr>
          <w:rFonts w:ascii="Calibri" w:hAnsi="Calibri" w:cs="Calibri"/>
        </w:rPr>
      </w:pPr>
      <w:r w:rsidRPr="00BF25B7">
        <w:rPr>
          <w:rFonts w:ascii="Calibri" w:hAnsi="Calibri" w:cs="Calibri"/>
        </w:rPr>
        <w:t>Gollin, D., Probst, L.T., 2015. Food and agriculture: shifting landscapes for policy. Oxf. Rev. Econ. Policy 31, 8–25. https://doi.org/10.1093/oxrep/grv012</w:t>
      </w:r>
    </w:p>
    <w:p w14:paraId="2BD2BEAE" w14:textId="77777777" w:rsidR="00BF25B7" w:rsidRPr="00BF25B7" w:rsidRDefault="00BF25B7" w:rsidP="00BF25B7">
      <w:pPr>
        <w:pStyle w:val="Bibliography"/>
        <w:rPr>
          <w:rFonts w:ascii="Calibri" w:hAnsi="Calibri" w:cs="Calibri"/>
        </w:rPr>
      </w:pPr>
      <w:r w:rsidRPr="00BF25B7">
        <w:rPr>
          <w:rFonts w:ascii="Calibri" w:hAnsi="Calibri" w:cs="Calibri"/>
        </w:rPr>
        <w:t>Green, J.L., Hastings, A., Arzberger, P., Ayala, F.J., Cottingham, K.L., Cuddington, K., Davis, F., Dunne, J.A., Fortin, M.-J., Gerber, L., Neubert, M., 2005. Complexity in Ecology and Conservation: Mathematical, Statistical, and Computational Challenges. BioScience 55, 501–510. https://doi.org/10.1641/0006-3568(2005)055[0501:CIEACM]2.0.CO;2</w:t>
      </w:r>
    </w:p>
    <w:p w14:paraId="4EE9D42E" w14:textId="77777777" w:rsidR="00BF25B7" w:rsidRPr="00BF25B7" w:rsidRDefault="00BF25B7" w:rsidP="00BF25B7">
      <w:pPr>
        <w:pStyle w:val="Bibliography"/>
        <w:rPr>
          <w:rFonts w:ascii="Calibri" w:hAnsi="Calibri" w:cs="Calibri"/>
        </w:rPr>
      </w:pPr>
      <w:r w:rsidRPr="00BF25B7">
        <w:rPr>
          <w:rFonts w:ascii="Calibri" w:hAnsi="Calibri" w:cs="Calibri"/>
        </w:rPr>
        <w:t>Gruby, R.L., Enrici, A., Betsill, M., Le Cornu, E., Basurto, X., 2021. Opening the black box of conservation philanthropy: A co-produced research agenda on private foundations in marine conservation. Mar. Policy 132, 104645. https://doi.org/10.1016/j.marpol.2021.104645</w:t>
      </w:r>
    </w:p>
    <w:p w14:paraId="7B7DC0AC"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Hamblin, S., 2013. On the practical usage of genetic algorithms in ecology and evolution. Methods Ecol. Evol. 4, 184–194. https://doi.org/10.1111/2041-210X.12000</w:t>
      </w:r>
    </w:p>
    <w:p w14:paraId="22559021" w14:textId="77777777" w:rsidR="00BF25B7" w:rsidRPr="00BF25B7" w:rsidRDefault="00BF25B7" w:rsidP="00BF25B7">
      <w:pPr>
        <w:pStyle w:val="Bibliography"/>
        <w:rPr>
          <w:rFonts w:ascii="Calibri" w:hAnsi="Calibri" w:cs="Calibri"/>
        </w:rPr>
      </w:pPr>
      <w:r w:rsidRPr="00BF25B7">
        <w:rPr>
          <w:rFonts w:ascii="Calibri" w:hAnsi="Calibri" w:cs="Calibri"/>
        </w:rPr>
        <w:t>Hein, L., Miller, D.C., de Groot, R., 2013. Payments for ecosystem services and the financing of global biodiversity conservation. Curr. Opin. Environ. Sustain., Terrestrial systems 5, 87–93. https://doi.org/10.1016/j.cosust.2012.12.004</w:t>
      </w:r>
    </w:p>
    <w:p w14:paraId="47870F64" w14:textId="77777777" w:rsidR="00BF25B7" w:rsidRPr="00BF25B7" w:rsidRDefault="00BF25B7" w:rsidP="00BF25B7">
      <w:pPr>
        <w:pStyle w:val="Bibliography"/>
        <w:rPr>
          <w:rFonts w:ascii="Calibri" w:hAnsi="Calibri" w:cs="Calibri"/>
        </w:rPr>
      </w:pPr>
      <w:r w:rsidRPr="00BF25B7">
        <w:rPr>
          <w:rFonts w:ascii="Calibri" w:hAnsi="Calibri" w:cs="Calibri"/>
        </w:rPr>
        <w:t>Henschel, P., Coad, L., Burton, C., Chataigner, B., Dunn, A., MacDonald, D., Saidu, Y., Hunter, L.T.B., 2014. The Lion in West Africa Is Critically Endangered. PLOS ONE 9, e83500. https://doi.org/10.1371/journal.pone.0083500</w:t>
      </w:r>
    </w:p>
    <w:p w14:paraId="23663B28" w14:textId="77777777" w:rsidR="00BF25B7" w:rsidRPr="00BF25B7" w:rsidRDefault="00BF25B7" w:rsidP="00BF25B7">
      <w:pPr>
        <w:pStyle w:val="Bibliography"/>
        <w:rPr>
          <w:rFonts w:ascii="Calibri" w:hAnsi="Calibri" w:cs="Calibri"/>
        </w:rPr>
      </w:pPr>
      <w:r w:rsidRPr="00BF25B7">
        <w:rPr>
          <w:rFonts w:ascii="Calibri" w:hAnsi="Calibri" w:cs="Calibri"/>
        </w:rPr>
        <w:t>Hodge, I., Adams, W.M., 2016. Short-Term Projects versus Adaptive Governance: Conflicting Demands in the Management of Ecological Restoration. Land 5, 39. https://doi.org/10.3390/land5040039</w:t>
      </w:r>
    </w:p>
    <w:p w14:paraId="23F8407B" w14:textId="77777777" w:rsidR="00BF25B7" w:rsidRPr="00BF25B7" w:rsidRDefault="00BF25B7" w:rsidP="00BF25B7">
      <w:pPr>
        <w:pStyle w:val="Bibliography"/>
        <w:rPr>
          <w:rFonts w:ascii="Calibri" w:hAnsi="Calibri" w:cs="Calibri"/>
        </w:rPr>
      </w:pPr>
      <w:r w:rsidRPr="00BF25B7">
        <w:rPr>
          <w:rFonts w:ascii="Calibri" w:hAnsi="Calibri" w:cs="Calibri"/>
        </w:rPr>
        <w:t>Huwyler, F., Kappeli, J., Tobin, J., 2016. Conservation finance from niche to mainstream: The building of an institutional asset class. Credit Suisse and McMinsey Center for Business and Environment, Zurich, Switzerland.</w:t>
      </w:r>
    </w:p>
    <w:p w14:paraId="05CE6516" w14:textId="77777777" w:rsidR="00BF25B7" w:rsidRPr="00BF25B7" w:rsidRDefault="00BF25B7" w:rsidP="00BF25B7">
      <w:pPr>
        <w:pStyle w:val="Bibliography"/>
        <w:rPr>
          <w:rFonts w:ascii="Calibri" w:hAnsi="Calibri" w:cs="Calibri"/>
        </w:rPr>
      </w:pPr>
      <w:r w:rsidRPr="00BF25B7">
        <w:rPr>
          <w:rFonts w:ascii="Calibri" w:hAnsi="Calibri" w:cs="Calibri"/>
        </w:rPr>
        <w:t>Ingram, J.C., Wilkie, D., Clements, T., McNab, R.B., Nelson, F., Baur, E.H., Sachedina, H.T., Peterson, D.D., Foley, C.A.H., 2014. Evidence of Payments for Ecosystem Services as a mechanism for supporting biodiversity conservation and rural livelihoods. Ecosyst. Serv. 7, 10–21. https://doi.org/10.1016/j.ecoser.2013.12.003</w:t>
      </w:r>
    </w:p>
    <w:p w14:paraId="5A08AB85" w14:textId="77777777" w:rsidR="00BF25B7" w:rsidRPr="00BF25B7" w:rsidRDefault="00BF25B7" w:rsidP="00BF25B7">
      <w:pPr>
        <w:pStyle w:val="Bibliography"/>
        <w:rPr>
          <w:rFonts w:ascii="Calibri" w:hAnsi="Calibri" w:cs="Calibri"/>
        </w:rPr>
      </w:pPr>
      <w:r w:rsidRPr="00BF25B7">
        <w:rPr>
          <w:rFonts w:ascii="Calibri" w:hAnsi="Calibri" w:cs="Calibri"/>
        </w:rPr>
        <w:t>Jayachandran, S., de Laat, J., Lambin, E.F., Stanton, C.Y., 2016. Cash for Carbon: A Randomized Controlled Trial of Payments for Ecosystem Services to Reduce Deforestation (Working Paper No. 22378), Working Paper Series. National Bureau of Economic Research. https://doi.org/10.3386/w22378</w:t>
      </w:r>
    </w:p>
    <w:p w14:paraId="19A905CE" w14:textId="77777777" w:rsidR="00BF25B7" w:rsidRPr="00BF25B7" w:rsidRDefault="00BF25B7" w:rsidP="00BF25B7">
      <w:pPr>
        <w:pStyle w:val="Bibliography"/>
        <w:rPr>
          <w:rFonts w:ascii="Calibri" w:hAnsi="Calibri" w:cs="Calibri"/>
        </w:rPr>
      </w:pPr>
      <w:r w:rsidRPr="00BF25B7">
        <w:rPr>
          <w:rFonts w:ascii="Calibri" w:hAnsi="Calibri" w:cs="Calibri"/>
        </w:rPr>
        <w:t>Kaiser, C., 2015. NatureVest: Natural Capital Investment Solutions to Transform The Way We Protect Nature. Soc. Res. 82, 749–760.</w:t>
      </w:r>
    </w:p>
    <w:p w14:paraId="04506650" w14:textId="77777777" w:rsidR="00BF25B7" w:rsidRPr="00BF25B7" w:rsidRDefault="00BF25B7" w:rsidP="00BF25B7">
      <w:pPr>
        <w:pStyle w:val="Bibliography"/>
        <w:rPr>
          <w:rFonts w:ascii="Calibri" w:hAnsi="Calibri" w:cs="Calibri"/>
        </w:rPr>
      </w:pPr>
      <w:r w:rsidRPr="00BF25B7">
        <w:rPr>
          <w:rFonts w:ascii="Calibri" w:hAnsi="Calibri" w:cs="Calibri"/>
        </w:rPr>
        <w:t>Kearney, S.G., Adams, V.M., Fuller, R.A., Possingham, H.P., Watson, J.E.M., 2020. Estimating the benefit of well-managed protected areas for threatened species conservation. Oryx 54, 276–284. https://doi.org/10.1017/S0030605317001739</w:t>
      </w:r>
    </w:p>
    <w:p w14:paraId="1B71C090" w14:textId="77777777" w:rsidR="00BF25B7" w:rsidRPr="00BF25B7" w:rsidRDefault="00BF25B7" w:rsidP="00BF25B7">
      <w:pPr>
        <w:pStyle w:val="Bibliography"/>
        <w:rPr>
          <w:rFonts w:ascii="Calibri" w:hAnsi="Calibri" w:cs="Calibri"/>
        </w:rPr>
      </w:pPr>
      <w:r w:rsidRPr="00BF25B7">
        <w:rPr>
          <w:rFonts w:ascii="Calibri" w:hAnsi="Calibri" w:cs="Calibri"/>
        </w:rPr>
        <w:t>Larson, L.R., Peterson, M.N., Furstenberg, R.V., Vayer, V.R., Lee, K.J., Choi, D.Y., Stevenson, K., Ahlers, A.A., Anhalt-Depies, C., Bethke, T., Bruskotter, J.T., Chizinski, C.J., Clark, B., Dayer, A.A., Dunning, K.H., Ghasemi, B., Gigliotti, L., Graefe, A., Irwin, K., Keith, S.J., Kelly, M., Kyle, G., Metcalf, E., Morse, W., Needham, M.D., Poudyal, N.C., Quartuch, M., Rodriguez, S., Romulo, C., Sharp, R.L., Siemer, W., Springer, M.T., Stayton, B., Stedman, R., Stein, T., Deelen, T.R.V., Whiting, J., Winkler, R.L., Woosnam, K.M., 2021. The future of wildlife conservation funding: What options do U.S. college students support? Conserv. Sci. Pract. n/a, e505. https://doi.org/10.1111/csp2.505</w:t>
      </w:r>
    </w:p>
    <w:p w14:paraId="75F5224F" w14:textId="77777777" w:rsidR="00BF25B7" w:rsidRPr="00BF25B7" w:rsidRDefault="00BF25B7" w:rsidP="00BF25B7">
      <w:pPr>
        <w:pStyle w:val="Bibliography"/>
        <w:rPr>
          <w:rFonts w:ascii="Calibri" w:hAnsi="Calibri" w:cs="Calibri"/>
        </w:rPr>
      </w:pPr>
      <w:r w:rsidRPr="00BF25B7">
        <w:rPr>
          <w:rFonts w:ascii="Calibri" w:hAnsi="Calibri" w:cs="Calibri"/>
        </w:rPr>
        <w:t>Laufer, A.E., Jones, M.D., 2021. Who pays for marine conservation? Processes and narratives that influence marine funding. Ocean Coast. Manag. 203, 105504. https://doi.org/10.1016/j.ocecoaman.2020.105504</w:t>
      </w:r>
    </w:p>
    <w:p w14:paraId="58323446" w14:textId="77777777" w:rsidR="00BF25B7" w:rsidRPr="00BF25B7" w:rsidRDefault="00BF25B7" w:rsidP="00BF25B7">
      <w:pPr>
        <w:pStyle w:val="Bibliography"/>
        <w:rPr>
          <w:rFonts w:ascii="Calibri" w:hAnsi="Calibri" w:cs="Calibri"/>
        </w:rPr>
      </w:pPr>
      <w:r w:rsidRPr="00BF25B7">
        <w:rPr>
          <w:rFonts w:ascii="Calibri" w:hAnsi="Calibri" w:cs="Calibri"/>
        </w:rPr>
        <w:t>Lennox, G.D., Armsworth, P.R., 2011. Suitability of short or long conservation contracts under ecological and socio-economic uncertainty. Ecol. Model. 222, 2856–2866. https://doi.org/10.1016/j.ecolmodel.2011.04.033</w:t>
      </w:r>
    </w:p>
    <w:p w14:paraId="190C39C6" w14:textId="77777777" w:rsidR="00BF25B7" w:rsidRPr="00BF25B7" w:rsidRDefault="00BF25B7" w:rsidP="00BF25B7">
      <w:pPr>
        <w:pStyle w:val="Bibliography"/>
        <w:rPr>
          <w:rFonts w:ascii="Calibri" w:hAnsi="Calibri" w:cs="Calibri"/>
        </w:rPr>
      </w:pPr>
      <w:r w:rsidRPr="00BF25B7">
        <w:rPr>
          <w:rFonts w:ascii="Calibri" w:hAnsi="Calibri" w:cs="Calibri"/>
        </w:rPr>
        <w:t>Levins, R., 1966. The strategy of model building in population biology. Am. Sci. 54, 421–431.</w:t>
      </w:r>
    </w:p>
    <w:p w14:paraId="05111A54" w14:textId="77777777" w:rsidR="00BF25B7" w:rsidRPr="00BF25B7" w:rsidRDefault="00BF25B7" w:rsidP="00BF25B7">
      <w:pPr>
        <w:pStyle w:val="Bibliography"/>
        <w:rPr>
          <w:rFonts w:ascii="Calibri" w:hAnsi="Calibri" w:cs="Calibri"/>
        </w:rPr>
      </w:pPr>
      <w:r w:rsidRPr="00BF25B7">
        <w:rPr>
          <w:rFonts w:ascii="Calibri" w:hAnsi="Calibri" w:cs="Calibri"/>
        </w:rPr>
        <w:t>Lindsey, P.A., Nyirenda, V.R., Barnes, J.I., Becker, M.S., McRobb, R., Tambling, C.J., Taylor, W.A., Watson, F.G., t’Sas-Rolfes, M., 2014. Underperformance of African Protected Area Networks and the Case for New Conservation Models: Insights from Zambia. PLOS ONE 9, e94109. https://doi.org/10.1371/journal.pone.0094109</w:t>
      </w:r>
    </w:p>
    <w:p w14:paraId="7C2BC13C" w14:textId="77777777" w:rsidR="00BF25B7" w:rsidRPr="00BF25B7" w:rsidRDefault="00BF25B7" w:rsidP="00BF25B7">
      <w:pPr>
        <w:pStyle w:val="Bibliography"/>
        <w:rPr>
          <w:rFonts w:ascii="Calibri" w:hAnsi="Calibri" w:cs="Calibri"/>
        </w:rPr>
      </w:pPr>
      <w:r w:rsidRPr="00BF25B7">
        <w:rPr>
          <w:rFonts w:ascii="Calibri" w:hAnsi="Calibri" w:cs="Calibri"/>
        </w:rPr>
        <w:t>Lindsey, P.A., Petracca, L.S., Funston, P.J., Bauer, H., Dickman, A., Everatt, K., Flyman, M., Henschel, P., Hinks, A.E., Kasiki, S., Loveridge, A., Macdonald, D.W., Mandisodza, R., Mgoola, W., Miller, S.M., Nazerali, S., Siege, L., Uiseb, K., Hunter, L.T.B., 2017. The performance of African protected areas for lions and their prey. Biol. Conserv. 209, 137–149. https://doi.org/10.1016/j.biocon.2017.01.011</w:t>
      </w:r>
    </w:p>
    <w:p w14:paraId="35A107E5"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Lytras, S., Xia, W., Hughes, J., Jiang, X., Robertson, D.L., 2021. The animal origin of SARS-CoV-2. Science 373, 968–970. https://doi.org/10.1126/science.abh0117</w:t>
      </w:r>
    </w:p>
    <w:p w14:paraId="7DB8A1A6" w14:textId="77777777" w:rsidR="00BF25B7" w:rsidRPr="00BF25B7" w:rsidRDefault="00BF25B7" w:rsidP="00BF25B7">
      <w:pPr>
        <w:pStyle w:val="Bibliography"/>
        <w:rPr>
          <w:rFonts w:ascii="Calibri" w:hAnsi="Calibri" w:cs="Calibri"/>
        </w:rPr>
      </w:pPr>
      <w:r w:rsidRPr="00BF25B7">
        <w:rPr>
          <w:rFonts w:ascii="Calibri" w:hAnsi="Calibri" w:cs="Calibri"/>
        </w:rPr>
        <w:t>McBride, M.F., Wilson, K.A., Bode, M., Possingham, H.P., 2007. Incorporating the Effects of Socioeconomic Uncertainty into Priority Setting for Conservation Investment. Conserv. Biol. 21, 1463–1474. https://doi.org/10.1111/j.1523-1739.2007.00832.x</w:t>
      </w:r>
    </w:p>
    <w:p w14:paraId="2F1E45C2" w14:textId="77777777" w:rsidR="00BF25B7" w:rsidRPr="00BF25B7" w:rsidRDefault="00BF25B7" w:rsidP="00BF25B7">
      <w:pPr>
        <w:pStyle w:val="Bibliography"/>
        <w:rPr>
          <w:rFonts w:ascii="Calibri" w:hAnsi="Calibri" w:cs="Calibri"/>
        </w:rPr>
      </w:pPr>
      <w:r w:rsidRPr="00BF25B7">
        <w:rPr>
          <w:rFonts w:ascii="Calibri" w:hAnsi="Calibri" w:cs="Calibri"/>
        </w:rPr>
        <w:t>McCarthy, D.P., Donald, P.F., Scharlemann, J.P.W., Buchanan, G.M., Balmford, A., Green, J.M.H., Bennun, L.A., Burgess, N.D., Fishpool, L.D.C., Garnett, S.T., Leonard, D.L., Maloney, R.F., Morling, P., Schaefer, H.M., Symes, A., Wiedenfeld, D.A., Butchart, S.H.M., 2012. Financial Costs of Meeting Global Biodiversity Conservation Targets: Current Spending and Unmet Needs. Science 338, 946–949. https://doi.org/10.1126/science.1229803</w:t>
      </w:r>
    </w:p>
    <w:p w14:paraId="3766DF0C" w14:textId="77777777" w:rsidR="00BF25B7" w:rsidRPr="00BF25B7" w:rsidRDefault="00BF25B7" w:rsidP="00BF25B7">
      <w:pPr>
        <w:pStyle w:val="Bibliography"/>
        <w:rPr>
          <w:rFonts w:ascii="Calibri" w:hAnsi="Calibri" w:cs="Calibri"/>
        </w:rPr>
      </w:pPr>
      <w:r w:rsidRPr="00BF25B7">
        <w:rPr>
          <w:rFonts w:ascii="Calibri" w:hAnsi="Calibri" w:cs="Calibri"/>
        </w:rPr>
        <w:t>McFarland, B., 2018. The future of tropical forest conservation finance, in: Conservation of Tropical Rainforests, Palgrave Studies in Environmental Policy and Regulation. Palgrave Macmillan, Cham.</w:t>
      </w:r>
    </w:p>
    <w:p w14:paraId="00879259" w14:textId="77777777" w:rsidR="00BF25B7" w:rsidRPr="00BF25B7" w:rsidRDefault="00BF25B7" w:rsidP="00BF25B7">
      <w:pPr>
        <w:pStyle w:val="Bibliography"/>
        <w:rPr>
          <w:rFonts w:ascii="Calibri" w:hAnsi="Calibri" w:cs="Calibri"/>
        </w:rPr>
      </w:pPr>
      <w:r w:rsidRPr="00BF25B7">
        <w:rPr>
          <w:rFonts w:ascii="Calibri" w:hAnsi="Calibri" w:cs="Calibri"/>
        </w:rPr>
        <w:t>Meir, E., Andelman, S., Possingham, H.P., 2004. Does conservation planning matter in a dynamic and uncertain world? Ecol. Lett. 7, 615–622. https://doi.org/10.1111/j.1461-0248.2004.00624.x</w:t>
      </w:r>
    </w:p>
    <w:p w14:paraId="6C0622A4" w14:textId="77777777" w:rsidR="00BF25B7" w:rsidRPr="00BF25B7" w:rsidRDefault="00BF25B7" w:rsidP="00BF25B7">
      <w:pPr>
        <w:pStyle w:val="Bibliography"/>
        <w:rPr>
          <w:rFonts w:ascii="Calibri" w:hAnsi="Calibri" w:cs="Calibri"/>
        </w:rPr>
      </w:pPr>
      <w:r w:rsidRPr="00BF25B7">
        <w:rPr>
          <w:rFonts w:ascii="Calibri" w:hAnsi="Calibri" w:cs="Calibri"/>
        </w:rPr>
        <w:t>Moore, J.F., Mulindahabi, F., Masozera, M.K., Nichols, J.D., Hines, J.E., Turikunkiko, E., Oli, M.K., 2018. Are ranger patrols effective in reducing poaching-related threats within protected areas? J. Appl. Ecol. 55, 99–107. https://doi.org/10.1111/1365-2664.12965</w:t>
      </w:r>
    </w:p>
    <w:p w14:paraId="426BE444" w14:textId="77777777" w:rsidR="00BF25B7" w:rsidRPr="00BF25B7" w:rsidRDefault="00BF25B7" w:rsidP="00BF25B7">
      <w:pPr>
        <w:pStyle w:val="Bibliography"/>
        <w:rPr>
          <w:rFonts w:ascii="Calibri" w:hAnsi="Calibri" w:cs="Calibri"/>
        </w:rPr>
      </w:pPr>
      <w:r w:rsidRPr="00BF25B7">
        <w:rPr>
          <w:rFonts w:ascii="Calibri" w:hAnsi="Calibri" w:cs="Calibri"/>
        </w:rPr>
        <w:t>Mouquet, N., Lagadeuc, Y., Devictor, V., Doyen, L., Duputié, A., Eveillard, D., Faure, D., Garnier, E., Gimenez, O., Huneman, P., Jabot, F., Jarne, P., Joly, D., Julliard, R., Kéfi, S., Kergoat, G.J., Lavorel, S., Gall, L.L., Meslin, L., Morand, S., Morin, X., Morlon, H., Pinay, G., Pradel, R., Schurr, F.M., Thuiller, W., Loreau, M., 2015. REVIEW: Predictive ecology in a changing world. J. Appl. Ecol. 52, 1293–1310. https://doi.org/10.1111/1365-2664.12482</w:t>
      </w:r>
    </w:p>
    <w:p w14:paraId="4020DF4B" w14:textId="77777777" w:rsidR="00BF25B7" w:rsidRPr="00BF25B7" w:rsidRDefault="00BF25B7" w:rsidP="00BF25B7">
      <w:pPr>
        <w:pStyle w:val="Bibliography"/>
        <w:rPr>
          <w:rFonts w:ascii="Calibri" w:hAnsi="Calibri" w:cs="Calibri"/>
        </w:rPr>
      </w:pPr>
      <w:r w:rsidRPr="00BF25B7">
        <w:rPr>
          <w:rFonts w:ascii="Calibri" w:hAnsi="Calibri" w:cs="Calibri"/>
        </w:rPr>
        <w:t>Murdoch, W., Ranganathan, J., Polasky, S., Regetz, J., 2010. Using return on investment to maximize conservation effectiveness in Argentine grasslands. Proc. Natl. Acad. Sci. 107, 20855–20862. https://doi.org/10.1073/pnas.1011851107</w:t>
      </w:r>
    </w:p>
    <w:p w14:paraId="48230AE0" w14:textId="77777777" w:rsidR="00BF25B7" w:rsidRPr="00BF25B7" w:rsidRDefault="00BF25B7" w:rsidP="00BF25B7">
      <w:pPr>
        <w:pStyle w:val="Bibliography"/>
        <w:rPr>
          <w:rFonts w:ascii="Calibri" w:hAnsi="Calibri" w:cs="Calibri"/>
        </w:rPr>
      </w:pPr>
      <w:r w:rsidRPr="00BF25B7">
        <w:rPr>
          <w:rFonts w:ascii="Calibri" w:hAnsi="Calibri" w:cs="Calibri"/>
        </w:rPr>
        <w:t>Nilsson, L., Bunnefeld, N., Minderman, J., Duthie, A.B., 2021. Effects of stakeholder empowerment on crane population and agricultural production. Ecol. Model. 440, 109396. https://doi.org/10.1016/j.ecolmodel.2020.109396</w:t>
      </w:r>
    </w:p>
    <w:p w14:paraId="036509EC" w14:textId="77777777" w:rsidR="00BF25B7" w:rsidRPr="00BF25B7" w:rsidRDefault="00BF25B7" w:rsidP="00BF25B7">
      <w:pPr>
        <w:pStyle w:val="Bibliography"/>
        <w:rPr>
          <w:rFonts w:ascii="Calibri" w:hAnsi="Calibri" w:cs="Calibri"/>
        </w:rPr>
      </w:pPr>
      <w:r w:rsidRPr="00BF25B7">
        <w:rPr>
          <w:rFonts w:ascii="Calibri" w:hAnsi="Calibri" w:cs="Calibri"/>
        </w:rPr>
        <w:t>Pringle, R.M., 2017. Upgrading protected areas to conserve wild biodiversity. Nature 546, 91–99. https://doi.org/10.1038/nature22902</w:t>
      </w:r>
    </w:p>
    <w:p w14:paraId="563A4E57" w14:textId="77777777" w:rsidR="00BF25B7" w:rsidRPr="00BF25B7" w:rsidRDefault="00BF25B7" w:rsidP="00BF25B7">
      <w:pPr>
        <w:pStyle w:val="Bibliography"/>
        <w:rPr>
          <w:rFonts w:ascii="Calibri" w:hAnsi="Calibri" w:cs="Calibri"/>
        </w:rPr>
      </w:pPr>
      <w:r w:rsidRPr="00BF25B7">
        <w:rPr>
          <w:rFonts w:ascii="Calibri" w:hAnsi="Calibri" w:cs="Calibri"/>
        </w:rPr>
        <w:t>R Core Team, 2021. R: A language and environment for statistical computing. R Foundation for Statistical Computing, Vienna, Austria.</w:t>
      </w:r>
    </w:p>
    <w:p w14:paraId="15DC54DF" w14:textId="77777777" w:rsidR="00BF25B7" w:rsidRPr="00BF25B7" w:rsidRDefault="00BF25B7" w:rsidP="00BF25B7">
      <w:pPr>
        <w:pStyle w:val="Bibliography"/>
        <w:rPr>
          <w:rFonts w:ascii="Calibri" w:hAnsi="Calibri" w:cs="Calibri"/>
        </w:rPr>
      </w:pPr>
      <w:r w:rsidRPr="00BF25B7">
        <w:rPr>
          <w:rFonts w:ascii="Calibri" w:hAnsi="Calibri" w:cs="Calibri"/>
        </w:rPr>
        <w:t>Redford, K.H., Adams, W.M., 2009. Payment for Ecosystem Services and the Challenge of Saving Nature. Conserv. Biol. 23, 785–787. https://doi.org/10.1111/j.1523-1739.2009.01271.x</w:t>
      </w:r>
    </w:p>
    <w:p w14:paraId="40B0ACC1" w14:textId="77777777" w:rsidR="00BF25B7" w:rsidRPr="00BF25B7" w:rsidRDefault="00BF25B7" w:rsidP="00BF25B7">
      <w:pPr>
        <w:pStyle w:val="Bibliography"/>
        <w:rPr>
          <w:rFonts w:ascii="Calibri" w:hAnsi="Calibri" w:cs="Calibri"/>
        </w:rPr>
      </w:pPr>
      <w:r w:rsidRPr="00BF25B7">
        <w:rPr>
          <w:rFonts w:ascii="Calibri" w:hAnsi="Calibri" w:cs="Calibri"/>
        </w:rPr>
        <w:t>Rodríguez, J.P., Taber, A.B., Daszak, P., Sukumar, R., Valladares-Padua, C., Padua, S., Aguirre, L.F., Medellín, R.A., Acosta, M., Aguirre, A.A., Bonacic, C., Bordino, P., Bruschini, J., Buchori, D., González, S., Mathew, T., Méndez, M., Mugica, L., Pacheco, L.F., Dobson, A.P., Pearl, M., 2007. Globalization of Conservation: A View from the South. Science 317, 755–756. https://doi.org/10.1126/science.1145560</w:t>
      </w:r>
    </w:p>
    <w:p w14:paraId="54E0355D" w14:textId="77777777" w:rsidR="00BF25B7" w:rsidRPr="00BF25B7" w:rsidRDefault="00BF25B7" w:rsidP="00BF25B7">
      <w:pPr>
        <w:pStyle w:val="Bibliography"/>
        <w:rPr>
          <w:rFonts w:ascii="Calibri" w:hAnsi="Calibri" w:cs="Calibri"/>
        </w:rPr>
      </w:pPr>
      <w:r w:rsidRPr="00BF25B7">
        <w:rPr>
          <w:rFonts w:ascii="Calibri" w:hAnsi="Calibri" w:cs="Calibri"/>
        </w:rPr>
        <w:t>Sachs, J., Woo, W., Yoshino, N., Taghizadeh-Hesary, F., 2019. Importance of green finance for achieving sustainable development goals and energy security, in: Handbook of Green Finance: Energy Security and Sustainable Development, Sustainable Development. Springer, Tokyo.</w:t>
      </w:r>
    </w:p>
    <w:p w14:paraId="386C150A" w14:textId="77777777" w:rsidR="00BF25B7" w:rsidRPr="00BF25B7" w:rsidRDefault="00BF25B7" w:rsidP="00BF25B7">
      <w:pPr>
        <w:pStyle w:val="Bibliography"/>
        <w:rPr>
          <w:rFonts w:ascii="Calibri" w:hAnsi="Calibri" w:cs="Calibri"/>
        </w:rPr>
      </w:pPr>
      <w:r w:rsidRPr="00BF25B7">
        <w:rPr>
          <w:rFonts w:ascii="Calibri" w:hAnsi="Calibri" w:cs="Calibri"/>
        </w:rPr>
        <w:t>Salzman, J., Bennett, G., Carroll, N., Goldstein, A., Jenkins, M., 2018. The global status and trends of Payments for Ecosystem Services. Nat. Sustain. 1, 136–144. https://doi.org/10.1038/s41893-018-0033-0</w:t>
      </w:r>
    </w:p>
    <w:p w14:paraId="256FFBD3" w14:textId="77777777" w:rsidR="00BF25B7" w:rsidRPr="00BF25B7" w:rsidRDefault="00BF25B7" w:rsidP="00BF25B7">
      <w:pPr>
        <w:pStyle w:val="Bibliography"/>
        <w:rPr>
          <w:rFonts w:ascii="Calibri" w:hAnsi="Calibri" w:cs="Calibri"/>
        </w:rPr>
      </w:pPr>
      <w:r w:rsidRPr="00BF25B7">
        <w:rPr>
          <w:rFonts w:ascii="Calibri" w:hAnsi="Calibri" w:cs="Calibri"/>
        </w:rPr>
        <w:t>Santana, J., Reino, L., Stoate, C., Borralho, R., Carvalho, C.R., Schindler, S., Moreira, F., Bugalho, M.N., Ribeiro, P.F., Santos, J.L., Vaz, A., Morgado, R., Porto, M., Beja, P., 2014. Mixed Effects of Long-Term Conservation Investment in Natura 2000 Farmland. Conserv. Lett. 7, 467–477. https://doi.org/10.1111/conl.12077</w:t>
      </w:r>
    </w:p>
    <w:p w14:paraId="541C834D"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Sayer, J., Wells, M., 2004. The pathology of projects, in: Getting Biodiversity Projects to Work: Towards More Effective Conservation and Development. Columbia University Press, New York, USA, pp. 35–48.</w:t>
      </w:r>
    </w:p>
    <w:p w14:paraId="64E5FCE8" w14:textId="77777777" w:rsidR="00BF25B7" w:rsidRPr="00BF25B7" w:rsidRDefault="00BF25B7" w:rsidP="00BF25B7">
      <w:pPr>
        <w:pStyle w:val="Bibliography"/>
        <w:rPr>
          <w:rFonts w:ascii="Calibri" w:hAnsi="Calibri" w:cs="Calibri"/>
        </w:rPr>
      </w:pPr>
      <w:r w:rsidRPr="00BF25B7">
        <w:rPr>
          <w:rFonts w:ascii="Calibri" w:hAnsi="Calibri" w:cs="Calibri"/>
        </w:rPr>
        <w:t>Sayer, J.A., Margules, C., Boedhihartono, A.K., Sunderland, T., Langston, J.D., Reed, J., Riggs, R., Buck, L.E., Campbell, B.M., Kusters, K., Elliott, C., Minang, P.A., Dale, A., Purnomo, H., Stevenson, J.R., Gunarso, P., Purnomo, A., 2017. Measuring the effectiveness of landscape approaches to conservation and development. Sustain. Sci. 12, 465–476. https://doi.org/10.1007/s11625-016-0415-z</w:t>
      </w:r>
    </w:p>
    <w:p w14:paraId="66244B9C" w14:textId="77777777" w:rsidR="00BF25B7" w:rsidRPr="00BF25B7" w:rsidRDefault="00BF25B7" w:rsidP="00BF25B7">
      <w:pPr>
        <w:pStyle w:val="Bibliography"/>
        <w:rPr>
          <w:rFonts w:ascii="Calibri" w:hAnsi="Calibri" w:cs="Calibri"/>
        </w:rPr>
      </w:pPr>
      <w:r w:rsidRPr="00BF25B7">
        <w:rPr>
          <w:rFonts w:ascii="Calibri" w:hAnsi="Calibri" w:cs="Calibri"/>
        </w:rPr>
        <w:t>Sohn, E., 2019. Secrets to writing a winning grant. Nature 577, 133–135. https://doi.org/10.1038/d41586-019-03914-5</w:t>
      </w:r>
    </w:p>
    <w:p w14:paraId="19759F21" w14:textId="77777777" w:rsidR="00BF25B7" w:rsidRPr="00BF25B7" w:rsidRDefault="00BF25B7" w:rsidP="00BF25B7">
      <w:pPr>
        <w:pStyle w:val="Bibliography"/>
        <w:rPr>
          <w:rFonts w:ascii="Calibri" w:hAnsi="Calibri" w:cs="Calibri"/>
        </w:rPr>
      </w:pPr>
      <w:r w:rsidRPr="00BF25B7">
        <w:rPr>
          <w:rFonts w:ascii="Calibri" w:hAnsi="Calibri" w:cs="Calibri"/>
        </w:rPr>
        <w:t>Steinmetz, R., Srirattanaporn, S., Mor-Tip, J., Seuaturien, N., 2014. Can community outreach alleviate poaching pressure and recover wildlife in South-East Asian protected areas? J. Appl. Ecol. 51, 1469–1478. https://doi.org/10.1111/1365-2664.12239</w:t>
      </w:r>
    </w:p>
    <w:p w14:paraId="50666757" w14:textId="77777777" w:rsidR="00BF25B7" w:rsidRPr="00BF25B7" w:rsidRDefault="00BF25B7" w:rsidP="00BF25B7">
      <w:pPr>
        <w:pStyle w:val="Bibliography"/>
        <w:rPr>
          <w:rFonts w:ascii="Calibri" w:hAnsi="Calibri" w:cs="Calibri"/>
        </w:rPr>
      </w:pPr>
      <w:r w:rsidRPr="00BF25B7">
        <w:rPr>
          <w:rFonts w:ascii="Calibri" w:hAnsi="Calibri" w:cs="Calibri"/>
        </w:rPr>
        <w:t>Torres, E., Zeidan, R., 2016. The life-cycle of national development banks: The experience of Brazil’s BNDES. Q. Rev. Econ. Finance, Special Issue: Is there a Brazilian Development “Model”? 62, 97–104. https://doi.org/10.1016/j.qref.2016.07.006</w:t>
      </w:r>
    </w:p>
    <w:p w14:paraId="039750D9" w14:textId="77777777" w:rsidR="00BF25B7" w:rsidRPr="00BF25B7" w:rsidRDefault="00BF25B7" w:rsidP="00BF25B7">
      <w:pPr>
        <w:pStyle w:val="Bibliography"/>
        <w:rPr>
          <w:rFonts w:ascii="Calibri" w:hAnsi="Calibri" w:cs="Calibri"/>
        </w:rPr>
      </w:pPr>
      <w:r w:rsidRPr="00BF25B7">
        <w:rPr>
          <w:rFonts w:ascii="Calibri" w:hAnsi="Calibri" w:cs="Calibri"/>
        </w:rPr>
        <w:t>Tulloch, V.J.D., Turschwell, M.P., Giffin, A.L., Halpern, B.S., Connolly, R., Griffiths, L., Frazer, M., Brown, C.J., 2020. Linking threat maps with management to guide conservation investment. Biol. Conserv. 245, 108527. https://doi.org/10.1016/j.biocon.2020.108527</w:t>
      </w:r>
    </w:p>
    <w:p w14:paraId="5F0538F2" w14:textId="77777777" w:rsidR="00BF25B7" w:rsidRPr="00BF25B7" w:rsidRDefault="00BF25B7" w:rsidP="00BF25B7">
      <w:pPr>
        <w:pStyle w:val="Bibliography"/>
        <w:rPr>
          <w:rFonts w:ascii="Calibri" w:hAnsi="Calibri" w:cs="Calibri"/>
        </w:rPr>
      </w:pPr>
      <w:r w:rsidRPr="00BF25B7">
        <w:rPr>
          <w:rFonts w:ascii="Calibri" w:hAnsi="Calibri" w:cs="Calibri"/>
        </w:rPr>
        <w:t>Utami, N.W.F., Wirawan, I.G.P., Firn, J., Kepakisan, A.N.K., Kusdyana, I.P.G.A., Nicol, S., Carwardine, J., 2020. Prioritizing management strategies to achieve multiple outcomes in a globally significant Indonesian protected area. Conserv. Sci. Pract. 2, e157. https://doi.org/10.1111/csp2.157</w:t>
      </w:r>
    </w:p>
    <w:p w14:paraId="66668AE1" w14:textId="77777777" w:rsidR="00BF25B7" w:rsidRPr="00BF25B7" w:rsidRDefault="00BF25B7" w:rsidP="00BF25B7">
      <w:pPr>
        <w:pStyle w:val="Bibliography"/>
        <w:rPr>
          <w:rFonts w:ascii="Calibri" w:hAnsi="Calibri" w:cs="Calibri"/>
        </w:rPr>
      </w:pPr>
      <w:r w:rsidRPr="00BF25B7">
        <w:rPr>
          <w:rFonts w:ascii="Calibri" w:hAnsi="Calibri" w:cs="Calibri"/>
        </w:rPr>
        <w:t>Waithaka, J., Dudley, N., Alvarez, M., Arguedas Mora, S., Chapman, S., Figgis, P., Fitzsimons, J., Gallon, S., Gray, T.N.E., Kim, M., Pasha, M.K.S., Perkin, S., Roig-Boixeda, P., Sierra, C., Valverde, A., Wong, M., 2021. Impacts of COVID-19 on protected and conserved areas: A global overview and regional perspectives. PARKS 27, 41–56.</w:t>
      </w:r>
    </w:p>
    <w:p w14:paraId="06EADA52" w14:textId="77777777" w:rsidR="00BF25B7" w:rsidRPr="00BF25B7" w:rsidRDefault="00BF25B7" w:rsidP="00BF25B7">
      <w:pPr>
        <w:pStyle w:val="Bibliography"/>
        <w:rPr>
          <w:rFonts w:ascii="Calibri" w:hAnsi="Calibri" w:cs="Calibri"/>
        </w:rPr>
      </w:pPr>
      <w:r w:rsidRPr="00BF25B7">
        <w:rPr>
          <w:rFonts w:ascii="Calibri" w:hAnsi="Calibri" w:cs="Calibri"/>
        </w:rPr>
        <w:t>Waldron, A., Mooers, A.O., Miller, D.C., Nibbelink, N., Redding, D., Kuhn, T.S., Roberts, J.T., Gittleman, J.L., 2013. Targeting global conservation funding to limit immediate biodiversity declines. Proc. Natl. Acad. Sci. 110, 12144–12148. https://doi.org/10.1073/pnas.1221370110</w:t>
      </w:r>
    </w:p>
    <w:p w14:paraId="7AC62393" w14:textId="77777777" w:rsidR="00BF25B7" w:rsidRPr="00BF25B7" w:rsidRDefault="00BF25B7" w:rsidP="00BF25B7">
      <w:pPr>
        <w:pStyle w:val="Bibliography"/>
        <w:rPr>
          <w:rFonts w:ascii="Calibri" w:hAnsi="Calibri" w:cs="Calibri"/>
        </w:rPr>
      </w:pPr>
      <w:r w:rsidRPr="00BF25B7">
        <w:rPr>
          <w:rFonts w:ascii="Calibri" w:hAnsi="Calibri" w:cs="Calibri"/>
        </w:rPr>
        <w:t>Wilson, E.O., 1999. Consilience: The Unity of Knowledge. Vintage Books.</w:t>
      </w:r>
    </w:p>
    <w:p w14:paraId="1E4FA98D" w14:textId="77777777" w:rsidR="00BF25B7" w:rsidRPr="00BF25B7" w:rsidRDefault="00BF25B7" w:rsidP="00BF25B7">
      <w:pPr>
        <w:pStyle w:val="Bibliography"/>
        <w:rPr>
          <w:rFonts w:ascii="Calibri" w:hAnsi="Calibri" w:cs="Calibri"/>
        </w:rPr>
      </w:pPr>
      <w:r w:rsidRPr="00BF25B7">
        <w:rPr>
          <w:rFonts w:ascii="Calibri" w:hAnsi="Calibri" w:cs="Calibri"/>
        </w:rPr>
        <w:t>Wilson, K.A., McBride, M.F., Bode, M., Possingham, H.P., 2006. Prioritizing global conservation efforts. Nature 440, 337–340. https://doi.org/10.1038/nature04366</w:t>
      </w:r>
    </w:p>
    <w:p w14:paraId="71285678" w14:textId="77777777" w:rsidR="00BF25B7" w:rsidRPr="00BF25B7" w:rsidRDefault="00BF25B7" w:rsidP="00BF25B7">
      <w:pPr>
        <w:pStyle w:val="Bibliography"/>
        <w:rPr>
          <w:rFonts w:ascii="Calibri" w:hAnsi="Calibri" w:cs="Calibri"/>
        </w:rPr>
      </w:pPr>
      <w:r w:rsidRPr="00BF25B7">
        <w:rPr>
          <w:rFonts w:ascii="Calibri" w:hAnsi="Calibri" w:cs="Calibri"/>
        </w:rPr>
        <w:t>Wittemyer, G., 2011. Effects of Economic Downturns on Mortality of Wild African Elephants. Conserv. Biol. 25, 1002–1009. https://doi.org/10.1111/j.1523-1739.2011.01713.x</w:t>
      </w:r>
    </w:p>
    <w:p w14:paraId="338A280A" w14:textId="77777777" w:rsidR="00BF25B7" w:rsidRPr="00BF25B7" w:rsidRDefault="00BF25B7" w:rsidP="00BF25B7">
      <w:pPr>
        <w:pStyle w:val="Bibliography"/>
        <w:rPr>
          <w:rFonts w:ascii="Calibri" w:hAnsi="Calibri" w:cs="Calibri"/>
        </w:rPr>
      </w:pPr>
      <w:r w:rsidRPr="00BF25B7">
        <w:rPr>
          <w:rFonts w:ascii="Calibri" w:hAnsi="Calibri" w:cs="Calibri"/>
        </w:rPr>
        <w:t>Wittemyer, G., Elsen, P., Bean, W.T., Burton, A.C.O., Brashares, J.S., 2008. Accelerated Human Population Growth at Protected Area Edges. Science 321, 123–126. https://doi.org/10.1126/science.1158900</w:t>
      </w:r>
    </w:p>
    <w:p w14:paraId="562ED795" w14:textId="77777777" w:rsidR="00BF25B7" w:rsidRPr="00BF25B7" w:rsidRDefault="00BF25B7" w:rsidP="00BF25B7">
      <w:pPr>
        <w:pStyle w:val="Bibliography"/>
        <w:rPr>
          <w:rFonts w:ascii="Calibri" w:hAnsi="Calibri" w:cs="Calibri"/>
        </w:rPr>
      </w:pPr>
      <w:r w:rsidRPr="00BF25B7">
        <w:rPr>
          <w:rFonts w:ascii="Calibri" w:hAnsi="Calibri" w:cs="Calibri"/>
        </w:rPr>
        <w:t>Zheng, H., Robinson, B.E., Liang, Y.-C., Polasky, S., Ma, D.-C., Wang, F.-C., Ruckelshaus, M., Ouyang, Z.-Y., Daily, G.C., 2013. Benefits, costs, and livelihood implications of a regional payment for ecosystem service program. Proc. Natl. Acad. Sci. 110, 16681–16686. https://doi.org/10.1073/pnas.1312324110</w:t>
      </w:r>
    </w:p>
    <w:p w14:paraId="76A166E2" w14:textId="749FD032" w:rsidR="00BF25B7" w:rsidRPr="00BF25B7" w:rsidRDefault="00BF25B7">
      <w:r>
        <w:fldChar w:fldCharType="end"/>
      </w:r>
    </w:p>
    <w:sectPr w:rsidR="00BF25B7" w:rsidRPr="00BF25B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atharine Abernethy" w:date="2022-01-13T11:49:00Z" w:initials="KA">
    <w:p w14:paraId="5F9743BE" w14:textId="3BFBBFD2" w:rsidR="00D53698" w:rsidRDefault="00D53698">
      <w:pPr>
        <w:pStyle w:val="CommentText"/>
      </w:pPr>
      <w:r>
        <w:rPr>
          <w:rStyle w:val="CommentReference"/>
        </w:rPr>
        <w:annotationRef/>
      </w:r>
      <w:r>
        <w:t xml:space="preserve">Does this follow on as a ‘therefore’ from the previous statement? It doesn’t seem to, to me. </w:t>
      </w:r>
    </w:p>
  </w:comment>
  <w:comment w:id="8" w:author="Katharine Abernethy" w:date="2022-01-13T11:51:00Z" w:initials="KA">
    <w:p w14:paraId="43FABB59" w14:textId="168A4342" w:rsidR="00D53698" w:rsidRDefault="00D53698">
      <w:pPr>
        <w:pStyle w:val="CommentText"/>
      </w:pPr>
      <w:r>
        <w:rPr>
          <w:rStyle w:val="CommentReference"/>
        </w:rPr>
        <w:annotationRef/>
      </w:r>
      <w:r>
        <w:t>You haven’t explained that grant-based funding is unstable and non-linear. From outside, there’s no obvious reason it should be</w:t>
      </w:r>
    </w:p>
  </w:comment>
  <w:comment w:id="10" w:author="Katharine Abernethy" w:date="2022-01-13T11:53:00Z" w:initials="KA">
    <w:p w14:paraId="514306BA" w14:textId="1916C5E5" w:rsidR="00D53698" w:rsidRDefault="00D53698">
      <w:pPr>
        <w:pStyle w:val="CommentText"/>
      </w:pPr>
      <w:r>
        <w:rPr>
          <w:rStyle w:val="CommentReference"/>
        </w:rPr>
        <w:annotationRef/>
      </w:r>
      <w:r>
        <w:t>This isn’t the problem so much as the highly competitive nature (because the pot is too small) which means you cannot rely on renewing funding</w:t>
      </w:r>
    </w:p>
  </w:comment>
  <w:comment w:id="12"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3" w:author="Matthew Nuttall" w:date="2021-09-29T14:51:00Z" w:initials="MN">
    <w:p w14:paraId="3C954C41" w14:textId="68D925F9" w:rsidR="003A0878" w:rsidRDefault="006F0A98">
      <w:pPr>
        <w:pStyle w:val="CommentText"/>
      </w:pPr>
      <w:r>
        <w:rPr>
          <w:rStyle w:val="CommentReference"/>
        </w:rPr>
        <w:annotationRef/>
      </w:r>
      <w:r w:rsidR="003A0878">
        <w:t>I have added quite a few more references now.</w:t>
      </w:r>
    </w:p>
    <w:p w14:paraId="6D92C361" w14:textId="77777777" w:rsidR="003A0878" w:rsidRDefault="003A0878">
      <w:pPr>
        <w:pStyle w:val="CommentText"/>
      </w:pPr>
    </w:p>
    <w:p w14:paraId="105A5050" w14:textId="76A89627" w:rsidR="006F0A98" w:rsidRDefault="006F0A98">
      <w:pPr>
        <w:pStyle w:val="CommentText"/>
      </w:pPr>
      <w:r>
        <w:t>I mention the gap in the literature in the first sentence of the paragraph. Do you think I should move it to the end?</w:t>
      </w:r>
    </w:p>
  </w:comment>
  <w:comment w:id="14" w:author="Katharine Abernethy" w:date="2022-01-13T11:54:00Z" w:initials="KA">
    <w:p w14:paraId="19B2B01F" w14:textId="71B03897" w:rsidR="00D53698" w:rsidRDefault="00D53698">
      <w:pPr>
        <w:pStyle w:val="CommentText"/>
      </w:pPr>
      <w:r>
        <w:rPr>
          <w:rStyle w:val="CommentReference"/>
        </w:rPr>
        <w:annotationRef/>
      </w:r>
      <w:r>
        <w:t xml:space="preserve">The budget is abstract from the actual funding received. The result of the granting cycle is an implementation that is disrupted – the budget remains the same, it just isn’t funded. </w:t>
      </w:r>
    </w:p>
  </w:comment>
  <w:comment w:id="15" w:author="Katharine Abernethy" w:date="2022-01-13T11:55:00Z" w:initials="KA">
    <w:p w14:paraId="1526DEF0" w14:textId="771C08F2" w:rsidR="003C1BD9" w:rsidRDefault="003C1BD9">
      <w:pPr>
        <w:pStyle w:val="CommentText"/>
      </w:pPr>
      <w:r>
        <w:rPr>
          <w:rStyle w:val="CommentReference"/>
        </w:rPr>
        <w:annotationRef/>
      </w:r>
      <w:r>
        <w:t xml:space="preserve">Not a ‘therefore’ </w:t>
      </w:r>
      <w:proofErr w:type="gramStart"/>
      <w:r>
        <w:t>Conservations</w:t>
      </w:r>
      <w:proofErr w:type="gramEnd"/>
      <w:r>
        <w:t xml:space="preserve"> organisations remain reliant on grants because they don’t have a business model that is self-sustaining. </w:t>
      </w:r>
    </w:p>
  </w:comment>
  <w:comment w:id="18" w:author="Katharine Abernethy" w:date="2022-01-13T11:59:00Z" w:initials="KA">
    <w:p w14:paraId="1B42FA13" w14:textId="2E40DC66" w:rsidR="003C1BD9" w:rsidRDefault="003C1BD9">
      <w:pPr>
        <w:pStyle w:val="CommentText"/>
      </w:pPr>
      <w:r>
        <w:rPr>
          <w:rStyle w:val="CommentReference"/>
        </w:rPr>
        <w:annotationRef/>
      </w:r>
      <w:r>
        <w:t xml:space="preserve">Herein lies the rub. </w:t>
      </w:r>
      <w:r w:rsidR="000514CA">
        <w:t>They have often chosen to put themselves in this position.</w:t>
      </w:r>
    </w:p>
    <w:p w14:paraId="397F650F" w14:textId="0F8E47FE" w:rsidR="003C1BD9" w:rsidRDefault="003C1BD9">
      <w:pPr>
        <w:pStyle w:val="CommentText"/>
      </w:pPr>
      <w:r>
        <w:t>Look at the</w:t>
      </w:r>
      <w:r w:rsidR="000514CA">
        <w:t xml:space="preserve"> </w:t>
      </w:r>
      <w:r>
        <w:t xml:space="preserve">history of WCS. Small, committed people in highly focussed, </w:t>
      </w:r>
      <w:proofErr w:type="gramStart"/>
      <w:r>
        <w:t>small scale</w:t>
      </w:r>
      <w:proofErr w:type="gramEnd"/>
      <w:r>
        <w:t xml:space="preserve"> projects that were very effective. Funding was relatively reliable, because they stayed largely within their core income from zoo and NY institutions support and applied to private donors who were reliable and committed money in sustainable ways (trusts, legacies etc)</w:t>
      </w:r>
    </w:p>
    <w:p w14:paraId="2A466E3C" w14:textId="77777777" w:rsidR="003C1BD9" w:rsidRDefault="003C1BD9">
      <w:pPr>
        <w:pStyle w:val="CommentText"/>
      </w:pPr>
      <w:r>
        <w:t xml:space="preserve">Wilson review in, I think 2003 changed all that. </w:t>
      </w:r>
    </w:p>
    <w:p w14:paraId="7F60DCE4" w14:textId="17870B30" w:rsidR="003C1BD9" w:rsidRDefault="003C1BD9">
      <w:pPr>
        <w:pStyle w:val="CommentText"/>
      </w:pPr>
      <w:r>
        <w:t xml:space="preserve">Wilson (a business </w:t>
      </w:r>
      <w:proofErr w:type="gramStart"/>
      <w:r>
        <w:t>man)  thought</w:t>
      </w:r>
      <w:proofErr w:type="gramEnd"/>
      <w:r>
        <w:t xml:space="preserve"> they didn’t have enough ‘global influence’ to compete with WWF. The fact that they even thought it was a competition should have been a red flag. </w:t>
      </w:r>
    </w:p>
    <w:p w14:paraId="388BE423" w14:textId="77777777" w:rsidR="003C1BD9" w:rsidRDefault="003C1BD9">
      <w:pPr>
        <w:pStyle w:val="CommentText"/>
      </w:pPr>
      <w:r>
        <w:t xml:space="preserve">So, heavy investment in central services to run a bigger programme. Costs escalate with no increase in impact in the field. Private ‘angel’ donors don’t want to pay for that, they don’t want to pay for global influence, they want a single site they know and love. </w:t>
      </w:r>
    </w:p>
    <w:p w14:paraId="286E65F6" w14:textId="77777777" w:rsidR="000514CA" w:rsidRDefault="000514CA">
      <w:pPr>
        <w:pStyle w:val="CommentText"/>
      </w:pPr>
      <w:proofErr w:type="gramStart"/>
      <w:r>
        <w:t>So</w:t>
      </w:r>
      <w:proofErr w:type="gramEnd"/>
      <w:r>
        <w:t xml:space="preserve"> then they become slaves to the grant cycle in a way they never were before. Then their ‘global influence’ is ceded to the donors’ vision and WCS become a vehicle in removing sovereignty in conservation strategy from their developing country partners, rather than supporting it. </w:t>
      </w:r>
    </w:p>
    <w:p w14:paraId="162E1E55" w14:textId="77777777" w:rsidR="000514CA" w:rsidRDefault="000514CA">
      <w:pPr>
        <w:pStyle w:val="CommentText"/>
      </w:pPr>
      <w:r>
        <w:t xml:space="preserve">And where are we now? </w:t>
      </w:r>
    </w:p>
    <w:p w14:paraId="1B4022F6" w14:textId="77777777" w:rsidR="000514CA" w:rsidRDefault="000514CA">
      <w:pPr>
        <w:pStyle w:val="CommentText"/>
      </w:pPr>
      <w:r>
        <w:t>Is WCS a global influence?  No</w:t>
      </w:r>
    </w:p>
    <w:p w14:paraId="5EB191C8" w14:textId="0F776B33" w:rsidR="000514CA" w:rsidRDefault="000514CA">
      <w:pPr>
        <w:pStyle w:val="CommentText"/>
      </w:pPr>
      <w:r>
        <w:t xml:space="preserve">Are the special individuals it </w:t>
      </w:r>
      <w:proofErr w:type="spellStart"/>
      <w:proofErr w:type="gramStart"/>
      <w:r>
        <w:t>wasprevious</w:t>
      </w:r>
      <w:proofErr w:type="spellEnd"/>
      <w:r>
        <w:t xml:space="preserve">  supporting</w:t>
      </w:r>
      <w:proofErr w:type="gramEnd"/>
      <w:r>
        <w:t xml:space="preserve"> sustainably still influencing conservation agenda – often through direct influence of the donor perception of where funds should go? Yes. </w:t>
      </w:r>
    </w:p>
    <w:p w14:paraId="0CC3B312" w14:textId="331F9C07" w:rsidR="000514CA" w:rsidRDefault="000514CA">
      <w:pPr>
        <w:pStyle w:val="CommentText"/>
      </w:pPr>
    </w:p>
  </w:comment>
  <w:comment w:id="19" w:author="Katharine Abernethy" w:date="2022-01-13T12:06:00Z" w:initials="KA">
    <w:p w14:paraId="036B9962" w14:textId="278C3088" w:rsidR="000514CA" w:rsidRDefault="000514CA">
      <w:pPr>
        <w:pStyle w:val="CommentText"/>
      </w:pPr>
      <w:r>
        <w:rPr>
          <w:rStyle w:val="CommentReference"/>
        </w:rPr>
        <w:annotationRef/>
      </w:r>
      <w:r>
        <w:t xml:space="preserve">Only if the donor requires such – again a relatively recent paradigm. Wasn’t a burden even 30 years ago, you just got money and trusted with it. </w:t>
      </w:r>
    </w:p>
  </w:comment>
  <w:comment w:id="20" w:author="Katharine Abernethy" w:date="2022-01-13T12:07:00Z" w:initials="KA">
    <w:p w14:paraId="384C0957" w14:textId="2EB6F487" w:rsidR="000514CA" w:rsidRDefault="000514CA">
      <w:pPr>
        <w:pStyle w:val="CommentText"/>
      </w:pPr>
      <w:r>
        <w:rPr>
          <w:rStyle w:val="CommentReference"/>
        </w:rPr>
        <w:annotationRef/>
      </w:r>
      <w:r>
        <w:t>Not typical conservation donors – these are development donors who greenwash</w:t>
      </w:r>
    </w:p>
  </w:comment>
  <w:comment w:id="21" w:author="Katharine Abernethy" w:date="2022-01-13T12:08:00Z" w:initials="KA">
    <w:p w14:paraId="3BC48690" w14:textId="2515B508" w:rsidR="00FB1312" w:rsidRDefault="00FB1312">
      <w:pPr>
        <w:pStyle w:val="CommentText"/>
      </w:pPr>
      <w:r>
        <w:rPr>
          <w:rStyle w:val="CommentReference"/>
        </w:rPr>
        <w:annotationRef/>
      </w:r>
      <w:r>
        <w:t>Yes, that is a weird and dreadful model based on mistrust of recipients. Needs to stop.</w:t>
      </w:r>
    </w:p>
  </w:comment>
  <w:comment w:id="23" w:author="Matthew Nuttall" w:date="2021-10-08T11:46:00Z" w:initials="MN">
    <w:p w14:paraId="3DCC86CB" w14:textId="7A0F4D36" w:rsidR="004F2133" w:rsidRDefault="004F2133">
      <w:pPr>
        <w:pStyle w:val="CommentText"/>
      </w:pPr>
      <w:r>
        <w:rPr>
          <w:rStyle w:val="CommentReference"/>
        </w:rPr>
        <w:annotationRef/>
      </w:r>
      <w:r>
        <w:t>New sentence based on Nils’ comment below</w:t>
      </w:r>
    </w:p>
  </w:comment>
  <w:comment w:id="39" w:author="Matthew Nuttall" w:date="2021-10-08T11:54:00Z" w:initials="MN">
    <w:p w14:paraId="3AF3E295" w14:textId="3139F130" w:rsidR="00C2025A" w:rsidRDefault="00C2025A">
      <w:pPr>
        <w:pStyle w:val="CommentText"/>
      </w:pPr>
      <w:r>
        <w:rPr>
          <w:rStyle w:val="CommentReference"/>
        </w:rPr>
        <w:annotationRef/>
      </w:r>
      <w:r>
        <w:t>New sentence based on Nils’ comments below</w:t>
      </w:r>
    </w:p>
  </w:comment>
  <w:comment w:id="40" w:author="Katharine Abernethy" w:date="2022-01-13T12:15:00Z" w:initials="KA">
    <w:p w14:paraId="12960BE4" w14:textId="77777777" w:rsidR="00256AC1" w:rsidRDefault="00256AC1">
      <w:pPr>
        <w:pStyle w:val="CommentText"/>
      </w:pPr>
      <w:r>
        <w:rPr>
          <w:rStyle w:val="CommentReference"/>
        </w:rPr>
        <w:annotationRef/>
      </w:r>
      <w:r>
        <w:t xml:space="preserve">Look at the Phinda development in South Africa by Conservation Corporation. I’ll see if I can find literature. </w:t>
      </w:r>
    </w:p>
    <w:p w14:paraId="0DFFD108" w14:textId="77777777" w:rsidR="00256AC1" w:rsidRDefault="00256AC1">
      <w:pPr>
        <w:pStyle w:val="CommentText"/>
      </w:pPr>
      <w:r>
        <w:t xml:space="preserve">The way Costa Rica developed also insightful. </w:t>
      </w:r>
    </w:p>
    <w:p w14:paraId="391E7E1D" w14:textId="77777777" w:rsidR="00256AC1" w:rsidRDefault="00256AC1">
      <w:pPr>
        <w:pStyle w:val="CommentText"/>
      </w:pPr>
      <w:r>
        <w:t>South Korean land reform.</w:t>
      </w:r>
    </w:p>
    <w:p w14:paraId="0A448BF2" w14:textId="1405F09D" w:rsidR="00256AC1" w:rsidRDefault="003A1DDB">
      <w:pPr>
        <w:pStyle w:val="CommentText"/>
      </w:pPr>
      <w:hyperlink r:id="rId1" w:history="1">
        <w:r w:rsidR="00256AC1" w:rsidRPr="00DC407B">
          <w:rPr>
            <w:rStyle w:val="Hyperlink"/>
          </w:rPr>
          <w:t>https://www.iucn.org/sites/dev/files/content/documents/cem_2020_-_transformative_conservation.pdf</w:t>
        </w:r>
      </w:hyperlink>
    </w:p>
    <w:p w14:paraId="42EC7D18" w14:textId="44512CDD" w:rsidR="00256AC1" w:rsidRDefault="00256AC1">
      <w:pPr>
        <w:pStyle w:val="CommentText"/>
      </w:pPr>
    </w:p>
    <w:p w14:paraId="7932F219" w14:textId="2625828D" w:rsidR="00256AC1" w:rsidRDefault="003A1DDB">
      <w:pPr>
        <w:pStyle w:val="CommentText"/>
      </w:pPr>
      <w:hyperlink r:id="rId2" w:history="1">
        <w:r w:rsidR="00256AC1" w:rsidRPr="00DC407B">
          <w:rPr>
            <w:rStyle w:val="Hyperlink"/>
          </w:rPr>
          <w:t>https://www.sciencedirect.com/science/article/pii/S2212041617302838?casa_token=nVBxTW8oGWMAAAAA:FMz7b625U-WJ4xcpdf-Yi-fRfoBs-s5RKspI1rXrC9aqo0t2y6BdGRiEFaVYbcnvIBykt-sroiU</w:t>
        </w:r>
      </w:hyperlink>
    </w:p>
    <w:p w14:paraId="14A40DD9" w14:textId="296428B3" w:rsidR="00256AC1" w:rsidRDefault="00256AC1">
      <w:pPr>
        <w:pStyle w:val="CommentText"/>
      </w:pPr>
    </w:p>
    <w:p w14:paraId="027A27FC" w14:textId="77777777" w:rsidR="00256AC1" w:rsidRDefault="00256AC1">
      <w:pPr>
        <w:pStyle w:val="CommentText"/>
      </w:pPr>
    </w:p>
    <w:p w14:paraId="3B6406ED" w14:textId="1D88201C" w:rsidR="00256AC1" w:rsidRDefault="00256AC1">
      <w:pPr>
        <w:pStyle w:val="CommentText"/>
      </w:pPr>
    </w:p>
  </w:comment>
  <w:comment w:id="51"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52" w:author="Matthew Nuttall" w:date="2021-10-08T12:00:00Z" w:initials="MN">
    <w:p w14:paraId="16E68F96" w14:textId="6B8A8B17" w:rsidR="00C2025A" w:rsidRDefault="00C2025A">
      <w:pPr>
        <w:pStyle w:val="CommentText"/>
      </w:pPr>
      <w:r>
        <w:rPr>
          <w:rStyle w:val="CommentReference"/>
        </w:rPr>
        <w:annotationRef/>
      </w:r>
      <w:r>
        <w:t xml:space="preserve">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w:t>
      </w:r>
      <w:r w:rsidR="00BC3488">
        <w:t>they need to be at the end of the paragraphs, I can try and restructure the paragraphs</w:t>
      </w:r>
    </w:p>
  </w:comment>
  <w:comment w:id="55" w:author="Matthew Nuttall" w:date="2021-10-08T14:45:00Z" w:initials="MN">
    <w:p w14:paraId="0F96F45E" w14:textId="1EB7E087" w:rsidR="00421EF3" w:rsidRDefault="00421EF3">
      <w:pPr>
        <w:pStyle w:val="CommentText"/>
      </w:pPr>
      <w:r>
        <w:rPr>
          <w:rStyle w:val="CommentReference"/>
        </w:rPr>
        <w:annotationRef/>
      </w:r>
      <w:r>
        <w:t>Is this better Brad?</w:t>
      </w:r>
    </w:p>
  </w:comment>
  <w:comment w:id="56" w:author="Katharine Abernethy" w:date="2022-01-13T12:28:00Z" w:initials="KA">
    <w:p w14:paraId="1BDCF846" w14:textId="4D72B5AC" w:rsidR="00115188" w:rsidRDefault="00115188">
      <w:pPr>
        <w:pStyle w:val="CommentText"/>
      </w:pPr>
      <w:r>
        <w:rPr>
          <w:rStyle w:val="CommentReference"/>
        </w:rPr>
        <w:annotationRef/>
      </w:r>
      <w:r>
        <w:t xml:space="preserve">What on earth does that mean?? </w:t>
      </w:r>
    </w:p>
  </w:comment>
  <w:comment w:id="57" w:author="Katharine Abernethy" w:date="2022-01-13T12:29:00Z" w:initials="KA">
    <w:p w14:paraId="3DD916C8" w14:textId="24592F19" w:rsidR="00115188" w:rsidRDefault="00115188">
      <w:pPr>
        <w:pStyle w:val="CommentText"/>
      </w:pPr>
      <w:r>
        <w:rPr>
          <w:rStyle w:val="CommentReference"/>
        </w:rPr>
        <w:annotationRef/>
      </w:r>
      <w:r>
        <w:t xml:space="preserve">Genetically, fitness would be measured as success in passing on genes to the next generation – what is the measure of fitness here? What is a high fitness strategy? </w:t>
      </w:r>
    </w:p>
  </w:comment>
  <w:comment w:id="58" w:author="Katharine Abernethy" w:date="2022-01-13T12:31:00Z" w:initials="KA">
    <w:p w14:paraId="794C89E7" w14:textId="148AB6BC" w:rsidR="00115188" w:rsidRDefault="00115188">
      <w:pPr>
        <w:pStyle w:val="CommentText"/>
      </w:pPr>
      <w:r>
        <w:rPr>
          <w:rStyle w:val="CommentReference"/>
        </w:rPr>
        <w:annotationRef/>
      </w:r>
      <w:proofErr w:type="gramStart"/>
      <w:r>
        <w:t>So</w:t>
      </w:r>
      <w:proofErr w:type="gramEnd"/>
      <w:r>
        <w:t xml:space="preserve"> do the users stay ‘in the game’ calling the GA once the manager has stopped calling it? </w:t>
      </w:r>
    </w:p>
  </w:comment>
  <w:comment w:id="59" w:author="Katharine Abernethy" w:date="2022-01-13T12:33:00Z" w:initials="KA">
    <w:p w14:paraId="35B3B21E" w14:textId="0B39E449" w:rsidR="009910B9" w:rsidRDefault="009910B9">
      <w:pPr>
        <w:pStyle w:val="CommentText"/>
      </w:pPr>
      <w:r>
        <w:rPr>
          <w:rStyle w:val="CommentReference"/>
        </w:rPr>
        <w:annotationRef/>
      </w:r>
      <w:r>
        <w:t xml:space="preserve">Increasing human population? How did the user pop grow? </w:t>
      </w:r>
      <w:r w:rsidR="00EE03AC">
        <w:t>q</w:t>
      </w:r>
    </w:p>
  </w:comment>
  <w:comment w:id="62"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xml:space="preserve">’, I think you need to be explicit about what is being summed. E.g., for the sum on the bottom, \sum_{i = 1}^{N} x_{i} (let me know if you want me to write this out and put it in an image, but you can see with it looks like with </w:t>
      </w:r>
      <w:hyperlink r:id="rId3"/>
      <w:r>
        <w:rPr>
          <w:rFonts w:ascii="Calibri" w:hAnsi="Calibri"/>
          <w:sz w:val="20"/>
        </w:rPr>
        <w:t xml:space="preserve"> </w:t>
      </w:r>
    </w:p>
  </w:comment>
  <w:comment w:id="63" w:author="Matthew Nuttall" w:date="2021-10-11T09:23:00Z" w:initials="MN">
    <w:p w14:paraId="6E7ABB4D" w14:textId="3142ABB1" w:rsidR="006668D0" w:rsidRDefault="006668D0">
      <w:pPr>
        <w:pStyle w:val="CommentText"/>
      </w:pPr>
      <w:r>
        <w:rPr>
          <w:rStyle w:val="CommentReference"/>
        </w:rPr>
        <w:annotationRef/>
      </w:r>
      <w:r>
        <w:t>Equation edited. Is this correct now Brad?</w:t>
      </w:r>
    </w:p>
  </w:comment>
  <w:comment w:id="64"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65" w:author="Matthew Nuttall" w:date="2021-10-08T16:44:00Z" w:initials="MN">
    <w:p w14:paraId="69339FCF" w14:textId="6C7D5AB2" w:rsidR="00D24518" w:rsidRDefault="00D24518">
      <w:pPr>
        <w:pStyle w:val="CommentText"/>
      </w:pPr>
      <w:r>
        <w:rPr>
          <w:rStyle w:val="CommentReference"/>
        </w:rPr>
        <w:annotationRef/>
      </w:r>
      <w:r>
        <w:t>Not all of them had increasing fe</w:t>
      </w:r>
      <w:r w:rsidR="00462612">
        <w:t>l</w:t>
      </w:r>
      <w:r>
        <w:t>ling counts. For example, scenario 2 had a decreasing count of felling actions, and scenario 3 has a fluctuating count of felling actions (see Figure 5)</w:t>
      </w:r>
    </w:p>
  </w:comment>
  <w:comment w:id="66" w:author="Katharine Abernethy" w:date="2022-01-13T12:47:00Z" w:initials="KA">
    <w:p w14:paraId="65BDDA24" w14:textId="77777777" w:rsidR="009558F3" w:rsidRDefault="009558F3">
      <w:pPr>
        <w:pStyle w:val="CommentText"/>
      </w:pPr>
      <w:r>
        <w:rPr>
          <w:rStyle w:val="CommentReference"/>
        </w:rPr>
        <w:annotationRef/>
      </w:r>
      <w:r>
        <w:t xml:space="preserve">I would start the discussion with a simple recap of your findings. </w:t>
      </w:r>
    </w:p>
    <w:p w14:paraId="509F6871" w14:textId="707582B1" w:rsidR="009558F3" w:rsidRDefault="009558F3">
      <w:pPr>
        <w:pStyle w:val="CommentText"/>
      </w:pPr>
      <w:r>
        <w:t xml:space="preserve">Our model </w:t>
      </w:r>
      <w:r w:rsidR="00B61E9C">
        <w:t>predicts that a manager who has a reliable budget which covers a large proportion of core costs over many years is more likely to have good conservation outcomes that a manager who has periods of insufficient funding, even if at other times their budget is relatively high.</w:t>
      </w:r>
    </w:p>
  </w:comment>
  <w:comment w:id="67" w:author="Katharine Abernethy" w:date="2022-01-13T12:47:00Z" w:initials="KA">
    <w:p w14:paraId="3DADDFE7" w14:textId="7D759FE4" w:rsidR="009558F3" w:rsidRDefault="009558F3">
      <w:pPr>
        <w:pStyle w:val="CommentText"/>
      </w:pPr>
      <w:r>
        <w:rPr>
          <w:rStyle w:val="CommentReference"/>
        </w:rPr>
        <w:annotationRef/>
      </w:r>
      <w:r>
        <w:t>Under current drivers</w:t>
      </w:r>
    </w:p>
  </w:comment>
  <w:comment w:id="69" w:author="Katharine Abernethy" w:date="2022-01-13T12:52:00Z" w:initials="KA">
    <w:p w14:paraId="5A916292" w14:textId="3E661D53" w:rsidR="00B61E9C" w:rsidRDefault="00B61E9C">
      <w:pPr>
        <w:pStyle w:val="CommentText"/>
      </w:pPr>
      <w:r>
        <w:rPr>
          <w:rStyle w:val="CommentReference"/>
        </w:rPr>
        <w:annotationRef/>
      </w:r>
      <w:r>
        <w:t>Something like this should also go up top</w:t>
      </w:r>
    </w:p>
  </w:comment>
  <w:comment w:id="70" w:author="Nils Bunnefeld" w:date="2021-09-23T10:38:00Z" w:initials="NB">
    <w:p w14:paraId="51D97AB3" w14:textId="77777777" w:rsidR="0089199E" w:rsidRDefault="0089199E">
      <w:pPr>
        <w:pStyle w:val="CommentText"/>
      </w:pPr>
      <w:r>
        <w:rPr>
          <w:rStyle w:val="CommentReference"/>
        </w:rPr>
        <w:annotationRef/>
      </w:r>
      <w:proofErr w:type="spellStart"/>
      <w:r>
        <w:t>Id</w:t>
      </w:r>
      <w:proofErr w:type="spellEnd"/>
      <w:r>
        <w:t xml:space="preserve">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71" w:author="Matthew Nuttall" w:date="2021-10-11T09:49:00Z" w:initials="MN">
    <w:p w14:paraId="200D4505" w14:textId="52399A0E" w:rsidR="00462612" w:rsidRDefault="00462612">
      <w:pPr>
        <w:pStyle w:val="CommentText"/>
      </w:pPr>
      <w:r>
        <w:rPr>
          <w:rStyle w:val="CommentReference"/>
        </w:rPr>
        <w:annotationRef/>
      </w:r>
      <w:r>
        <w:t xml:space="preserve">I assume you’re talking about the general messages from the whole </w:t>
      </w:r>
      <w:proofErr w:type="gramStart"/>
      <w:r>
        <w:t>paragraph?</w:t>
      </w:r>
      <w:proofErr w:type="gramEnd"/>
      <w:r>
        <w:t xml:space="preserve"> If so, then I genuinely can’t find any references that say this. </w:t>
      </w:r>
      <w:r w:rsidR="007853F1">
        <w:t xml:space="preserve">I have found one book chapter (see next comment below) that discusses the negative aspects of the short-term project cycles, and </w:t>
      </w:r>
      <w:r>
        <w:t xml:space="preserve">I have found refs about how decreases in funding are bad (added to the intro), but nothing as explicit as this, where the effect of grant cycles is </w:t>
      </w:r>
      <w:proofErr w:type="gramStart"/>
      <w:r w:rsidR="007853F1">
        <w:t>actually investigated</w:t>
      </w:r>
      <w:proofErr w:type="gramEnd"/>
      <w:r>
        <w:t xml:space="preserve">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72" w:author="Katharine Abernethy" w:date="2022-01-13T12:53:00Z" w:initials="KA">
    <w:p w14:paraId="2B4A524E" w14:textId="3891B492" w:rsidR="0074785F" w:rsidRDefault="0074785F">
      <w:pPr>
        <w:pStyle w:val="CommentText"/>
      </w:pPr>
      <w:r>
        <w:rPr>
          <w:rStyle w:val="CommentReference"/>
        </w:rPr>
        <w:annotationRef/>
      </w:r>
      <w:r>
        <w:t xml:space="preserve">I don’t know of anything that explicitly models funding cycles. I think – as per my first comment above – </w:t>
      </w:r>
      <w:proofErr w:type="gramStart"/>
      <w:r>
        <w:t>that managers</w:t>
      </w:r>
      <w:proofErr w:type="gramEnd"/>
      <w:r>
        <w:t xml:space="preserve"> on the ground know that a stable core budget is the thing they need most, but I don’t think it’s been expressed in a model like this. </w:t>
      </w:r>
    </w:p>
  </w:comment>
  <w:comment w:id="73" w:author="Matthew Nuttall" w:date="2021-10-14T10:28:00Z" w:initials="MN">
    <w:p w14:paraId="34C3F580" w14:textId="03591DA5" w:rsidR="00B81406" w:rsidRDefault="00B81406">
      <w:pPr>
        <w:pStyle w:val="CommentText"/>
      </w:pPr>
      <w:r>
        <w:rPr>
          <w:rStyle w:val="CommentReference"/>
        </w:rPr>
        <w:annotationRef/>
      </w:r>
      <w:r>
        <w:t>This is the only reference I have found so far that talks about short-term projects / funding cycles and their effect on conservation programmes. But it is not an empirical study, it is a book chapter</w:t>
      </w:r>
    </w:p>
  </w:comment>
  <w:comment w:id="74" w:author="Matthew Nuttall" w:date="2021-10-08T17:08:00Z" w:initials="MN">
    <w:p w14:paraId="23F465F8" w14:textId="35596D75" w:rsidR="00173C07" w:rsidRDefault="00173C07">
      <w:pPr>
        <w:pStyle w:val="CommentText"/>
      </w:pPr>
      <w:r>
        <w:rPr>
          <w:rStyle w:val="CommentReference"/>
        </w:rPr>
        <w:annotationRef/>
      </w:r>
      <w:r>
        <w:t xml:space="preserve">Added this caveat about assumptions about timescales as Brad suggested. I wonder whether I </w:t>
      </w:r>
      <w:proofErr w:type="gramStart"/>
      <w:r>
        <w:t>actually need</w:t>
      </w:r>
      <w:proofErr w:type="gramEnd"/>
      <w:r>
        <w:t xml:space="preserve"> an entire paragraph about assumptions, as simulation studies like this that simplify a system so much make a bunch of assumptions. Should I be more explicit about the major ones in a dedicated paragraph?</w:t>
      </w:r>
    </w:p>
  </w:comment>
  <w:comment w:id="75" w:author="Katharine Abernethy" w:date="2022-01-13T12:55:00Z" w:initials="KA">
    <w:p w14:paraId="235552E4" w14:textId="4AF50EDF" w:rsidR="0074785F" w:rsidRDefault="0074785F">
      <w:pPr>
        <w:pStyle w:val="CommentText"/>
      </w:pPr>
      <w:r>
        <w:rPr>
          <w:rStyle w:val="CommentReference"/>
        </w:rPr>
        <w:annotationRef/>
      </w:r>
      <w:r>
        <w:t>I think this is fine, otherwise you spiral off into a lot of speculation</w:t>
      </w:r>
    </w:p>
  </w:comment>
  <w:comment w:id="76" w:author="Katharine Abernethy" w:date="2022-01-13T12:57:00Z" w:initials="KA">
    <w:p w14:paraId="0B978746" w14:textId="6BE5D41D" w:rsidR="0074785F" w:rsidRDefault="0074785F">
      <w:pPr>
        <w:pStyle w:val="CommentText"/>
      </w:pPr>
      <w:r>
        <w:rPr>
          <w:rStyle w:val="CommentReference"/>
        </w:rPr>
        <w:annotationRef/>
      </w:r>
      <w:r>
        <w:t>And crucially, after 50 years, they never do better than scenario 1</w:t>
      </w:r>
    </w:p>
  </w:comment>
  <w:comment w:id="77"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78" w:author="Matthew Nuttall" w:date="2021-10-11T14:51:00Z" w:initials="MN">
    <w:p w14:paraId="6E7D5FC9" w14:textId="02573151" w:rsidR="00622F30" w:rsidRDefault="00622F30">
      <w:pPr>
        <w:pStyle w:val="CommentText"/>
      </w:pPr>
      <w:r>
        <w:rPr>
          <w:rStyle w:val="CommentReference"/>
        </w:rPr>
        <w:annotationRef/>
      </w:r>
      <w:r>
        <w:t>Added a bunch of refs to these two paragraphs. I can’t find a reference for this final sentence though….!?</w:t>
      </w:r>
    </w:p>
  </w:comment>
  <w:comment w:id="90" w:author="Katharine Abernethy" w:date="2022-01-13T13:03:00Z" w:initials="KA">
    <w:p w14:paraId="222470CE" w14:textId="28A3B939" w:rsidR="00F0154B" w:rsidRDefault="00F0154B">
      <w:pPr>
        <w:pStyle w:val="CommentText"/>
      </w:pPr>
      <w:r>
        <w:rPr>
          <w:rStyle w:val="CommentReference"/>
        </w:rPr>
        <w:annotationRef/>
      </w:r>
      <w:r>
        <w:t xml:space="preserve">But these funds all continue to operate the </w:t>
      </w:r>
      <w:proofErr w:type="gramStart"/>
      <w:r>
        <w:t>boom and bust</w:t>
      </w:r>
      <w:proofErr w:type="gramEnd"/>
      <w:r>
        <w:t xml:space="preserve"> grant cycle model – they have bigger grants and longer cycles, but over time that won’t change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743BE" w15:done="0"/>
  <w15:commentEx w15:paraId="43FABB59" w15:done="0"/>
  <w15:commentEx w15:paraId="514306BA" w15:done="0"/>
  <w15:commentEx w15:paraId="61F493C1" w15:done="0"/>
  <w15:commentEx w15:paraId="105A5050" w15:paraIdParent="61F493C1" w15:done="0"/>
  <w15:commentEx w15:paraId="19B2B01F" w15:done="0"/>
  <w15:commentEx w15:paraId="1526DEF0" w15:done="0"/>
  <w15:commentEx w15:paraId="0CC3B312" w15:done="0"/>
  <w15:commentEx w15:paraId="036B9962" w15:done="0"/>
  <w15:commentEx w15:paraId="384C0957" w15:done="0"/>
  <w15:commentEx w15:paraId="3BC48690" w15:done="0"/>
  <w15:commentEx w15:paraId="3DCC86CB" w15:done="0"/>
  <w15:commentEx w15:paraId="3AF3E295" w15:done="0"/>
  <w15:commentEx w15:paraId="3B6406ED" w15:done="0"/>
  <w15:commentEx w15:paraId="031BE8CD" w15:done="0"/>
  <w15:commentEx w15:paraId="16E68F96" w15:paraIdParent="031BE8CD" w15:done="0"/>
  <w15:commentEx w15:paraId="0F96F45E" w15:done="0"/>
  <w15:commentEx w15:paraId="1BDCF846" w15:done="0"/>
  <w15:commentEx w15:paraId="3DD916C8" w15:done="0"/>
  <w15:commentEx w15:paraId="794C89E7" w15:done="0"/>
  <w15:commentEx w15:paraId="35B3B21E" w15:done="0"/>
  <w15:commentEx w15:paraId="42B689DE" w15:done="0"/>
  <w15:commentEx w15:paraId="6E7ABB4D" w15:paraIdParent="42B689DE" w15:done="0"/>
  <w15:commentEx w15:paraId="19D629C5" w15:done="0"/>
  <w15:commentEx w15:paraId="69339FCF" w15:paraIdParent="19D629C5" w15:done="0"/>
  <w15:commentEx w15:paraId="509F6871" w15:done="0"/>
  <w15:commentEx w15:paraId="3DADDFE7" w15:done="0"/>
  <w15:commentEx w15:paraId="5A916292" w15:done="0"/>
  <w15:commentEx w15:paraId="2A5C23D3" w15:done="0"/>
  <w15:commentEx w15:paraId="200D4505" w15:paraIdParent="2A5C23D3" w15:done="0"/>
  <w15:commentEx w15:paraId="2B4A524E" w15:paraIdParent="2A5C23D3" w15:done="0"/>
  <w15:commentEx w15:paraId="34C3F580" w15:done="0"/>
  <w15:commentEx w15:paraId="23F465F8" w15:done="0"/>
  <w15:commentEx w15:paraId="235552E4" w15:paraIdParent="23F465F8" w15:done="0"/>
  <w15:commentEx w15:paraId="0B978746" w15:done="0"/>
  <w15:commentEx w15:paraId="3CABF189" w15:done="0"/>
  <w15:commentEx w15:paraId="6E7D5FC9" w15:paraIdParent="3CABF189" w15:done="0"/>
  <w15:commentEx w15:paraId="22247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9062" w16cex:dateUtc="2022-01-13T11:49:00Z"/>
  <w16cex:commentExtensible w16cex:durableId="258A90C9" w16cex:dateUtc="2022-01-13T11:51:00Z"/>
  <w16cex:commentExtensible w16cex:durableId="258A9128" w16cex:dateUtc="2022-01-13T11:53:00Z"/>
  <w16cex:commentExtensible w16cex:durableId="24F6D0D6" w16cex:dateUtc="2021-09-23T09:09:00Z"/>
  <w16cex:commentExtensible w16cex:durableId="24FEFBF2" w16cex:dateUtc="2021-09-29T13:51:00Z"/>
  <w16cex:commentExtensible w16cex:durableId="258A916B" w16cex:dateUtc="2022-01-13T11:54:00Z"/>
  <w16cex:commentExtensible w16cex:durableId="258A91BE" w16cex:dateUtc="2022-01-13T11:55:00Z"/>
  <w16cex:commentExtensible w16cex:durableId="258A9294" w16cex:dateUtc="2022-01-13T11:59:00Z"/>
  <w16cex:commentExtensible w16cex:durableId="258A943F" w16cex:dateUtc="2022-01-13T12:06:00Z"/>
  <w16cex:commentExtensible w16cex:durableId="258A947B" w16cex:dateUtc="2022-01-13T12:07:00Z"/>
  <w16cex:commentExtensible w16cex:durableId="258A94B7" w16cex:dateUtc="2022-01-13T12:08:00Z"/>
  <w16cex:commentExtensible w16cex:durableId="250AAE2E" w16cex:dateUtc="2021-10-08T10:46:00Z"/>
  <w16cex:commentExtensible w16cex:durableId="250AAFFD" w16cex:dateUtc="2021-10-08T10:54:00Z"/>
  <w16cex:commentExtensible w16cex:durableId="258A964E" w16cex:dateUtc="2022-01-13T12:15:00Z"/>
  <w16cex:commentExtensible w16cex:durableId="24F6D1D4" w16cex:dateUtc="2021-09-23T09:13:00Z"/>
  <w16cex:commentExtensible w16cex:durableId="250AB141" w16cex:dateUtc="2021-10-08T11:00:00Z"/>
  <w16cex:commentExtensible w16cex:durableId="250AD801" w16cex:dateUtc="2021-10-08T13:45:00Z"/>
  <w16cex:commentExtensible w16cex:durableId="258A997F" w16cex:dateUtc="2022-01-13T12:28:00Z"/>
  <w16cex:commentExtensible w16cex:durableId="258A99A6" w16cex:dateUtc="2022-01-13T12:29:00Z"/>
  <w16cex:commentExtensible w16cex:durableId="258A9A15" w16cex:dateUtc="2022-01-13T12:31:00Z"/>
  <w16cex:commentExtensible w16cex:durableId="258A9AAF" w16cex:dateUtc="2022-01-13T12:33:00Z"/>
  <w16cex:commentExtensible w16cex:durableId="24F6D030" w16cex:dateUtc="2021-09-22T22:14:00Z"/>
  <w16cex:commentExtensible w16cex:durableId="250E8115" w16cex:dateUtc="2021-10-11T08:23:00Z"/>
  <w16cex:commentExtensible w16cex:durableId="24F6D033" w16cex:dateUtc="2021-09-22T22:23:00Z"/>
  <w16cex:commentExtensible w16cex:durableId="250AF3D2" w16cex:dateUtc="2021-10-08T15:44:00Z"/>
  <w16cex:commentExtensible w16cex:durableId="258A9DE5" w16cex:dateUtc="2022-01-13T12:47:00Z"/>
  <w16cex:commentExtensible w16cex:durableId="258A9DD5" w16cex:dateUtc="2022-01-13T12:47:00Z"/>
  <w16cex:commentExtensible w16cex:durableId="258A9EF6" w16cex:dateUtc="2022-01-13T12:52:00Z"/>
  <w16cex:commentExtensible w16cex:durableId="24F6D79A" w16cex:dateUtc="2021-09-23T09:38:00Z"/>
  <w16cex:commentExtensible w16cex:durableId="250E8742" w16cex:dateUtc="2021-10-11T08:49:00Z"/>
  <w16cex:commentExtensible w16cex:durableId="258A9F64" w16cex:dateUtc="2022-01-13T12:53:00Z"/>
  <w16cex:commentExtensible w16cex:durableId="251284DC" w16cex:dateUtc="2021-10-14T09:28:00Z"/>
  <w16cex:commentExtensible w16cex:durableId="250AF999" w16cex:dateUtc="2021-10-08T16:08:00Z"/>
  <w16cex:commentExtensible w16cex:durableId="258A9FD9" w16cex:dateUtc="2022-01-13T12:55:00Z"/>
  <w16cex:commentExtensible w16cex:durableId="258AA04A" w16cex:dateUtc="2022-01-13T12:57:00Z"/>
  <w16cex:commentExtensible w16cex:durableId="24F6D879" w16cex:dateUtc="2021-09-23T09:42:00Z"/>
  <w16cex:commentExtensible w16cex:durableId="250ECDDD" w16cex:dateUtc="2021-10-11T13:51:00Z"/>
  <w16cex:commentExtensible w16cex:durableId="258AA1A2" w16cex:dateUtc="2022-01-13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743BE" w16cid:durableId="258A9062"/>
  <w16cid:commentId w16cid:paraId="43FABB59" w16cid:durableId="258A90C9"/>
  <w16cid:commentId w16cid:paraId="514306BA" w16cid:durableId="258A9128"/>
  <w16cid:commentId w16cid:paraId="61F493C1" w16cid:durableId="24F6D0D6"/>
  <w16cid:commentId w16cid:paraId="105A5050" w16cid:durableId="24FEFBF2"/>
  <w16cid:commentId w16cid:paraId="19B2B01F" w16cid:durableId="258A916B"/>
  <w16cid:commentId w16cid:paraId="1526DEF0" w16cid:durableId="258A91BE"/>
  <w16cid:commentId w16cid:paraId="0CC3B312" w16cid:durableId="258A9294"/>
  <w16cid:commentId w16cid:paraId="036B9962" w16cid:durableId="258A943F"/>
  <w16cid:commentId w16cid:paraId="384C0957" w16cid:durableId="258A947B"/>
  <w16cid:commentId w16cid:paraId="3BC48690" w16cid:durableId="258A94B7"/>
  <w16cid:commentId w16cid:paraId="3DCC86CB" w16cid:durableId="250AAE2E"/>
  <w16cid:commentId w16cid:paraId="3AF3E295" w16cid:durableId="250AAFFD"/>
  <w16cid:commentId w16cid:paraId="3B6406ED" w16cid:durableId="258A964E"/>
  <w16cid:commentId w16cid:paraId="031BE8CD" w16cid:durableId="24F6D1D4"/>
  <w16cid:commentId w16cid:paraId="16E68F96" w16cid:durableId="250AB141"/>
  <w16cid:commentId w16cid:paraId="0F96F45E" w16cid:durableId="250AD801"/>
  <w16cid:commentId w16cid:paraId="1BDCF846" w16cid:durableId="258A997F"/>
  <w16cid:commentId w16cid:paraId="3DD916C8" w16cid:durableId="258A99A6"/>
  <w16cid:commentId w16cid:paraId="794C89E7" w16cid:durableId="258A9A15"/>
  <w16cid:commentId w16cid:paraId="35B3B21E" w16cid:durableId="258A9AAF"/>
  <w16cid:commentId w16cid:paraId="42B689DE" w16cid:durableId="24F6D030"/>
  <w16cid:commentId w16cid:paraId="6E7ABB4D" w16cid:durableId="250E8115"/>
  <w16cid:commentId w16cid:paraId="19D629C5" w16cid:durableId="24F6D033"/>
  <w16cid:commentId w16cid:paraId="69339FCF" w16cid:durableId="250AF3D2"/>
  <w16cid:commentId w16cid:paraId="509F6871" w16cid:durableId="258A9DE5"/>
  <w16cid:commentId w16cid:paraId="3DADDFE7" w16cid:durableId="258A9DD5"/>
  <w16cid:commentId w16cid:paraId="5A916292" w16cid:durableId="258A9EF6"/>
  <w16cid:commentId w16cid:paraId="2A5C23D3" w16cid:durableId="24F6D79A"/>
  <w16cid:commentId w16cid:paraId="200D4505" w16cid:durableId="250E8742"/>
  <w16cid:commentId w16cid:paraId="2B4A524E" w16cid:durableId="258A9F64"/>
  <w16cid:commentId w16cid:paraId="34C3F580" w16cid:durableId="251284DC"/>
  <w16cid:commentId w16cid:paraId="23F465F8" w16cid:durableId="250AF999"/>
  <w16cid:commentId w16cid:paraId="235552E4" w16cid:durableId="258A9FD9"/>
  <w16cid:commentId w16cid:paraId="0B978746" w16cid:durableId="258AA04A"/>
  <w16cid:commentId w16cid:paraId="3CABF189" w16cid:durableId="24F6D879"/>
  <w16cid:commentId w16cid:paraId="6E7D5FC9" w16cid:durableId="250ECDDD"/>
  <w16cid:commentId w16cid:paraId="222470CE" w16cid:durableId="258AA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84EE" w14:textId="77777777" w:rsidR="003A1DDB" w:rsidRDefault="003A1DDB" w:rsidP="00BF25B7">
      <w:pPr>
        <w:spacing w:after="0" w:line="240" w:lineRule="auto"/>
      </w:pPr>
      <w:r>
        <w:separator/>
      </w:r>
    </w:p>
  </w:endnote>
  <w:endnote w:type="continuationSeparator" w:id="0">
    <w:p w14:paraId="7888A5EF" w14:textId="77777777" w:rsidR="003A1DDB" w:rsidRDefault="003A1DDB" w:rsidP="00B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F6EF1" w14:textId="77777777" w:rsidR="003A1DDB" w:rsidRDefault="003A1DDB" w:rsidP="00BF25B7">
      <w:pPr>
        <w:spacing w:after="0" w:line="240" w:lineRule="auto"/>
      </w:pPr>
      <w:r>
        <w:separator/>
      </w:r>
    </w:p>
  </w:footnote>
  <w:footnote w:type="continuationSeparator" w:id="0">
    <w:p w14:paraId="26CC602A" w14:textId="77777777" w:rsidR="003A1DDB" w:rsidRDefault="003A1DDB" w:rsidP="00BF25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Abernethy">
    <w15:presenceInfo w15:providerId="AD" w15:userId="S::ka7@stir.ac.uk::73552a5e-c7b9-4b5a-a6b8-75baee8b728a"/>
  </w15:person>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514CA"/>
    <w:rsid w:val="000645D9"/>
    <w:rsid w:val="00115188"/>
    <w:rsid w:val="00164183"/>
    <w:rsid w:val="00173C07"/>
    <w:rsid w:val="00177F53"/>
    <w:rsid w:val="00180B63"/>
    <w:rsid w:val="001E1E50"/>
    <w:rsid w:val="00223B57"/>
    <w:rsid w:val="00256AC1"/>
    <w:rsid w:val="00283739"/>
    <w:rsid w:val="002C7AE9"/>
    <w:rsid w:val="002D43DE"/>
    <w:rsid w:val="002D4DF5"/>
    <w:rsid w:val="00321A08"/>
    <w:rsid w:val="003517F0"/>
    <w:rsid w:val="00380D43"/>
    <w:rsid w:val="003838B1"/>
    <w:rsid w:val="003A0878"/>
    <w:rsid w:val="003A1DDB"/>
    <w:rsid w:val="003C1BD9"/>
    <w:rsid w:val="003D7D4E"/>
    <w:rsid w:val="003E28EC"/>
    <w:rsid w:val="003E5FF9"/>
    <w:rsid w:val="003F20B0"/>
    <w:rsid w:val="00407D32"/>
    <w:rsid w:val="00421EF3"/>
    <w:rsid w:val="00444C49"/>
    <w:rsid w:val="00462612"/>
    <w:rsid w:val="004F2133"/>
    <w:rsid w:val="00505C1D"/>
    <w:rsid w:val="0051217D"/>
    <w:rsid w:val="00574A12"/>
    <w:rsid w:val="005C0C38"/>
    <w:rsid w:val="005E13B1"/>
    <w:rsid w:val="005E1766"/>
    <w:rsid w:val="0061051A"/>
    <w:rsid w:val="00622F30"/>
    <w:rsid w:val="00624780"/>
    <w:rsid w:val="00637A02"/>
    <w:rsid w:val="00640B53"/>
    <w:rsid w:val="006668D0"/>
    <w:rsid w:val="00681279"/>
    <w:rsid w:val="006B1B53"/>
    <w:rsid w:val="006C7A36"/>
    <w:rsid w:val="006F0A98"/>
    <w:rsid w:val="00721CB0"/>
    <w:rsid w:val="00731AF4"/>
    <w:rsid w:val="00733289"/>
    <w:rsid w:val="0074785F"/>
    <w:rsid w:val="00775391"/>
    <w:rsid w:val="007853F1"/>
    <w:rsid w:val="007A23C1"/>
    <w:rsid w:val="007A33A1"/>
    <w:rsid w:val="00803620"/>
    <w:rsid w:val="00854852"/>
    <w:rsid w:val="00873FEF"/>
    <w:rsid w:val="0089199E"/>
    <w:rsid w:val="00892B3A"/>
    <w:rsid w:val="008A7BC9"/>
    <w:rsid w:val="008D6134"/>
    <w:rsid w:val="00924ECB"/>
    <w:rsid w:val="009558F3"/>
    <w:rsid w:val="009910B9"/>
    <w:rsid w:val="00A262C6"/>
    <w:rsid w:val="00A30475"/>
    <w:rsid w:val="00A34FC3"/>
    <w:rsid w:val="00A457CE"/>
    <w:rsid w:val="00A74284"/>
    <w:rsid w:val="00A83A57"/>
    <w:rsid w:val="00AA1760"/>
    <w:rsid w:val="00AB2E08"/>
    <w:rsid w:val="00B34B5D"/>
    <w:rsid w:val="00B61E9C"/>
    <w:rsid w:val="00B81406"/>
    <w:rsid w:val="00B82ABF"/>
    <w:rsid w:val="00B8415A"/>
    <w:rsid w:val="00B908F7"/>
    <w:rsid w:val="00BA608A"/>
    <w:rsid w:val="00BB6084"/>
    <w:rsid w:val="00BC1DD8"/>
    <w:rsid w:val="00BC3488"/>
    <w:rsid w:val="00BF25B7"/>
    <w:rsid w:val="00C2025A"/>
    <w:rsid w:val="00C37F00"/>
    <w:rsid w:val="00C54BED"/>
    <w:rsid w:val="00D24518"/>
    <w:rsid w:val="00D50C48"/>
    <w:rsid w:val="00D53698"/>
    <w:rsid w:val="00D6058D"/>
    <w:rsid w:val="00D84DC6"/>
    <w:rsid w:val="00DD29EF"/>
    <w:rsid w:val="00EB5F70"/>
    <w:rsid w:val="00EE03AC"/>
    <w:rsid w:val="00F0154B"/>
    <w:rsid w:val="00F71372"/>
    <w:rsid w:val="00F73D32"/>
    <w:rsid w:val="00F80712"/>
    <w:rsid w:val="00FA4C5B"/>
    <w:rsid w:val="00FB1312"/>
    <w:rsid w:val="00FB3821"/>
    <w:rsid w:val="00FF70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 w:type="paragraph" w:styleId="Bibliography">
    <w:name w:val="Bibliography"/>
    <w:basedOn w:val="Normal"/>
    <w:next w:val="Normal"/>
    <w:uiPriority w:val="37"/>
    <w:unhideWhenUsed/>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5B7"/>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5B7"/>
  </w:style>
  <w:style w:type="paragraph" w:styleId="Revision">
    <w:name w:val="Revision"/>
    <w:hidden/>
    <w:uiPriority w:val="99"/>
    <w:semiHidden/>
    <w:rsid w:val="003C1BD9"/>
  </w:style>
  <w:style w:type="character" w:styleId="Hyperlink">
    <w:name w:val="Hyperlink"/>
    <w:basedOn w:val="DefaultParagraphFont"/>
    <w:uiPriority w:val="99"/>
    <w:unhideWhenUsed/>
    <w:rsid w:val="00256AC1"/>
    <w:rPr>
      <w:color w:val="0563C1" w:themeColor="hyperlink"/>
      <w:u w:val="single"/>
    </w:rPr>
  </w:style>
  <w:style w:type="character" w:styleId="UnresolvedMention">
    <w:name w:val="Unresolved Mention"/>
    <w:basedOn w:val="DefaultParagraphFont"/>
    <w:uiPriority w:val="99"/>
    <w:semiHidden/>
    <w:unhideWhenUsed/>
    <w:rsid w:val="00256AC1"/>
    <w:rPr>
      <w:color w:val="605E5C"/>
      <w:shd w:val="clear" w:color="auto" w:fill="E1DFDD"/>
    </w:rPr>
  </w:style>
  <w:style w:type="character" w:styleId="FollowedHyperlink">
    <w:name w:val="FollowedHyperlink"/>
    <w:basedOn w:val="DefaultParagraphFont"/>
    <w:uiPriority w:val="99"/>
    <w:semiHidden/>
    <w:unhideWhenUsed/>
    <w:rsid w:val="00854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quicklatex.com/" TargetMode="External"/><Relationship Id="rId2" Type="http://schemas.openxmlformats.org/officeDocument/2006/relationships/hyperlink" Target="https://www.sciencedirect.com/science/article/pii/S2212041617302838?casa_token=nVBxTW8oGWMAAAAA:FMz7b625U-WJ4xcpdf-Yi-fRfoBs-s5RKspI1rXrC9aqo0t2y6BdGRiEFaVYbcnvIBykt-sroiU" TargetMode="External"/><Relationship Id="rId1" Type="http://schemas.openxmlformats.org/officeDocument/2006/relationships/hyperlink" Target="https://www.iucn.org/sites/dev/files/content/documents/cem_2020_-_transformative_conservation.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www.tlffindonesia.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ww.thegef.org/" TargetMode="External"/><Relationship Id="rId2" Type="http://schemas.openxmlformats.org/officeDocument/2006/relationships/settings" Target="settings.xml"/><Relationship Id="rId16" Type="http://schemas.openxmlformats.org/officeDocument/2006/relationships/hyperlink" Target="http://www.biocarbonfund-isfl.org/"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27</Pages>
  <Words>48843</Words>
  <Characters>278410</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18</cp:revision>
  <dcterms:created xsi:type="dcterms:W3CDTF">2021-09-27T10:38:00Z</dcterms:created>
  <dcterms:modified xsi:type="dcterms:W3CDTF">2022-01-23T19:59:00Z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id="nKpXMcmK"/&gt;&lt;style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