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7041CA43" w:rsidR="002D4DF5" w:rsidRDefault="0089199E">
      <w:r>
        <w:t xml:space="preserve">Global conservation funding is currently inadequate to eliminate biodiversity loss </w:t>
      </w:r>
      <w:r>
        <w:fldChar w:fldCharType="begin"/>
      </w:r>
      <w:r w:rsidR="00A8483F">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2" w:name="__Fieldmark__29_362668386"/>
      <w:r w:rsidR="008A7BC9" w:rsidRPr="008A7BC9">
        <w:rPr>
          <w:rFonts w:ascii="Calibri" w:hAnsi="Calibri" w:cs="Calibri"/>
        </w:rPr>
        <w:t>(Huwyler et al., 2016; Larson et al., 2021; Sayer and Wells, 2004)</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It is therefore likely that in the short- to medium-term, conservation practitioners will remain largely reliant on traditional grant-based funding to implement conservation activities. </w:t>
      </w:r>
    </w:p>
    <w:p w14:paraId="342F701B" w14:textId="57DDC922" w:rsidR="002D4DF5" w:rsidRDefault="008A7BC9">
      <w:r>
        <w:t>G</w:t>
      </w:r>
      <w:r w:rsidR="0089199E">
        <w:t xml:space="preserve">rant-based funding </w:t>
      </w:r>
      <w:r>
        <w:t>is</w:t>
      </w:r>
      <w:r w:rsidR="0089199E">
        <w:t xml:space="preserve"> the dominant mechanism for conservation investment</w:t>
      </w:r>
      <w:r>
        <w:t xml:space="preserve"> largely because funders are hesitant to provide long-term institutional support to government agencies that lack the necessary technical and human resources, whereas project- or grant-based funding allows donors to maintain control over finances, standardise approaches, and measure progress </w:t>
      </w:r>
      <w:r>
        <w:fldChar w:fldCharType="begin"/>
      </w:r>
      <w:r>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8A7BC9">
        <w:rPr>
          <w:rFonts w:ascii="Calibri" w:hAnsi="Calibri" w:cs="Calibri"/>
        </w:rPr>
        <w:t>(Sayer and Wells, 2004)</w:t>
      </w:r>
      <w:r>
        <w:fldChar w:fldCharType="end"/>
      </w:r>
      <w:r>
        <w:t>.</w:t>
      </w:r>
      <w:r w:rsidR="0089199E">
        <w:t xml:space="preserve"> </w:t>
      </w:r>
      <w:r>
        <w:t>Yet v</w:t>
      </w:r>
      <w:r w:rsidR="0089199E">
        <w:t xml:space="preserve">ery little research has been done to assess the effects of unstable, non-linear budgets on biodiversity outcomes, nor the effects of alternative investment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A8483F">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rsidR="0089199E">
        <w:fldChar w:fldCharType="separate"/>
      </w:r>
      <w:bookmarkStart w:id="7" w:name="__Fieldmark__97_362668386"/>
      <w:r w:rsidR="0089199E">
        <w:rPr>
          <w:rFonts w:cs="Calibri"/>
        </w:rPr>
        <w:t>(Bruner et al., 2004; McBride et al., 2007; Waldron et al., 2013)</w:t>
      </w:r>
      <w:r w:rsidR="0089199E">
        <w:fldChar w:fldCharType="end"/>
      </w:r>
      <w:bookmarkEnd w:id="7"/>
      <w:r w:rsidR="0089199E">
        <w:t xml:space="preserve">. Investing conservation funds strategically over time is made difficult when funding is based on short-term grants that generally last between one and five years </w:t>
      </w:r>
      <w:r w:rsidR="0089199E">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89199E">
        <w:fldChar w:fldCharType="separate"/>
      </w:r>
      <w:bookmarkStart w:id="8" w:name="__Fieldmark__112_362668386"/>
      <w:r w:rsidR="00321A08" w:rsidRPr="00321A08">
        <w:rPr>
          <w:rFonts w:ascii="Calibri" w:hAnsi="Calibri" w:cs="Calibri"/>
        </w:rPr>
        <w:t>(Hodge and Adams, 2016; Sayer et al., 2017)</w:t>
      </w:r>
      <w:r w:rsidR="0089199E">
        <w:fldChar w:fldCharType="end"/>
      </w:r>
      <w:bookmarkEnd w:id="8"/>
      <w:r w:rsidR="0089199E">
        <w:t xml:space="preserve">. </w:t>
      </w:r>
      <w:commentRangeStart w:id="9"/>
      <w:commentRangeStart w:id="10"/>
      <w:r w:rsidR="0089199E">
        <w:t xml:space="preserve">Most conservation </w:t>
      </w:r>
      <w:commentRangeEnd w:id="9"/>
      <w:r w:rsidR="00380D43">
        <w:rPr>
          <w:rStyle w:val="CommentReference"/>
        </w:rPr>
        <w:commentReference w:id="9"/>
      </w:r>
      <w:commentRangeEnd w:id="10"/>
      <w:r w:rsidR="006F0A98">
        <w:rPr>
          <w:rStyle w:val="CommentReference"/>
        </w:rPr>
        <w:commentReference w:id="10"/>
      </w:r>
      <w:r w:rsidR="0089199E">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rsidR="0089199E">
        <w:t>. This funding model results in long-term budgets 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rsidR="0089199E">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rsidR="0089199E">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rsidR="0089199E">
        <w:t xml:space="preserve">. The same projects will inevitably go through periods of financial </w:t>
      </w:r>
      <w:r w:rsidR="0089199E">
        <w:lastRenderedPageBreak/>
        <w:t>hardship, which often occur between grants</w:t>
      </w:r>
      <w:r w:rsidR="00B908F7">
        <w:t xml:space="preserve"> </w:t>
      </w:r>
      <w:r w:rsidR="00B908F7">
        <w:fldChar w:fldCharType="begin"/>
      </w:r>
      <w:r w:rsidR="00B908F7">
        <w:instrText xml:space="preserve"> 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908F7">
        <w:fldChar w:fldCharType="separate"/>
      </w:r>
      <w:r w:rsidR="00B908F7" w:rsidRPr="00B908F7">
        <w:rPr>
          <w:rFonts w:ascii="Calibri" w:hAnsi="Calibri" w:cs="Calibri"/>
        </w:rPr>
        <w:t>(Sayer and Wells, 2004)</w:t>
      </w:r>
      <w:r w:rsidR="00B908F7">
        <w:fldChar w:fldCharType="end"/>
      </w:r>
      <w:r w:rsidR="0089199E">
        <w:t xml:space="preserve">. </w:t>
      </w:r>
      <w:r w:rsidR="00D6058D">
        <w:t xml:space="preserve">When conservation projects </w:t>
      </w:r>
      <w:r w:rsidR="00FA4C5B">
        <w:t>experience periods of</w:t>
      </w:r>
      <w:r w:rsidR="00D6058D">
        <w:t xml:space="preserve"> inadequate funding, expenditure</w:t>
      </w:r>
      <w:r w:rsidR="0089199E">
        <w:t xml:space="preserve"> is restricted to minimal core activities, project activities wind down, staff redundancies occur, </w:t>
      </w:r>
      <w:r w:rsidR="006C7A36">
        <w:t xml:space="preserve">research and monitoring activities decrease, </w:t>
      </w:r>
      <w:r w:rsidR="0089199E">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rsidR="0089199E">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1AEC97C0" w14:textId="0BAE6A5B"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11" w:name="__Fieldmark__178_362668386"/>
      <w:r w:rsidR="00A74284" w:rsidRPr="00A74284">
        <w:rPr>
          <w:rFonts w:ascii="Calibri" w:hAnsi="Calibri" w:cs="Calibri"/>
          <w:szCs w:val="24"/>
        </w:rPr>
        <w:t>(Hodge and Adams, 2016; Rodríguez et al., 2007)</w:t>
      </w:r>
      <w:r>
        <w:fldChar w:fldCharType="end"/>
      </w:r>
      <w:bookmarkEnd w:id="11"/>
      <w:r>
        <w:t xml:space="preserve">. </w:t>
      </w:r>
      <w:r w:rsidR="00BA608A">
        <w:t xml:space="preserve">If </w:t>
      </w:r>
      <w:r w:rsidR="001E1E50">
        <w:t xml:space="preserve">financial and operational </w:t>
      </w:r>
      <w:r w:rsidR="00BA608A">
        <w:t>control is</w:t>
      </w:r>
      <w:r w:rsidR="001E1E50">
        <w:t xml:space="preserve"> external in</w:t>
      </w:r>
      <w:r w:rsidR="00BA608A">
        <w:t xml:space="preserve"> grant-funded projects</w:t>
      </w:r>
      <w:r w:rsidR="001E1E50">
        <w:t xml:space="preserve"> that</w:t>
      </w:r>
      <w:r w:rsidR="00BA608A">
        <w:t xml:space="preserve"> involve partnerships with government agencies, local organisations or communities,</w:t>
      </w:r>
      <w:r w:rsidR="001E1E50">
        <w:t xml:space="preserve"> then host countries authorities and other local partners will be unlikely to embrace responsibility, nor have any sense of ownership or genuine partnership </w:t>
      </w:r>
      <w:r w:rsidR="001E1E50">
        <w:fldChar w:fldCharType="begin"/>
      </w:r>
      <w:r w:rsidR="001E1E50">
        <w:instrText xml:space="preserve"> 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E1E50">
        <w:fldChar w:fldCharType="separate"/>
      </w:r>
      <w:r w:rsidR="001E1E50" w:rsidRPr="001E1E50">
        <w:rPr>
          <w:rFonts w:ascii="Calibri" w:hAnsi="Calibri" w:cs="Calibri"/>
        </w:rPr>
        <w:t>(Sayer and Wells, 2004)</w:t>
      </w:r>
      <w:r w:rsidR="001E1E50">
        <w:fldChar w:fldCharType="end"/>
      </w:r>
      <w:r w:rsidR="001E1E50">
        <w:t xml:space="preserve">. </w:t>
      </w:r>
      <w:r>
        <w:t xml:space="preserve">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2" w:name="__Fieldmark__188_362668386"/>
      <w:r w:rsidR="00321A08" w:rsidRPr="00321A08">
        <w:rPr>
          <w:rFonts w:ascii="Calibri" w:hAnsi="Calibri" w:cs="Calibri"/>
        </w:rPr>
        <w:t>(Laufer and Jones, 2021; Sayer et al., 2017)</w:t>
      </w:r>
      <w:r>
        <w:fldChar w:fldCharType="end"/>
      </w:r>
      <w:bookmarkEnd w:id="12"/>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3" w:name="__Fieldmark__228_362668386"/>
      <w:r>
        <w:rPr>
          <w:rFonts w:cs="Calibri"/>
        </w:rPr>
        <w:t>(Emerton et al., 2006)</w:t>
      </w:r>
      <w:r>
        <w:fldChar w:fldCharType="end"/>
      </w:r>
      <w:bookmarkEnd w:id="13"/>
      <w:r>
        <w:t>.</w:t>
      </w:r>
      <w:r w:rsidR="006F0A98">
        <w:t xml:space="preserve"> </w:t>
      </w:r>
      <w:commentRangeStart w:id="14"/>
      <w:r w:rsidR="004F2133">
        <w:t>There is a paucity of research into the effects of unstable core budgets on the effectiveness of conservation projects, and the implications of financial unpredictability on biodiversity outcomes over time.</w:t>
      </w:r>
      <w:commentRangeEnd w:id="14"/>
      <w:r w:rsidR="004F2133">
        <w:rPr>
          <w:rStyle w:val="CommentReference"/>
        </w:rPr>
        <w:commentReference w:id="14"/>
      </w:r>
      <w:r>
        <w:t xml:space="preserve">                </w:t>
      </w:r>
    </w:p>
    <w:p w14:paraId="01864F5C" w14:textId="3A5643F8"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5" w:name="__Fieldmark__244_362668386"/>
      <w:r>
        <w:rPr>
          <w:rFonts w:cs="Calibri"/>
        </w:rPr>
        <w:t>(Coad et al., 2019)</w:t>
      </w:r>
      <w:r>
        <w:fldChar w:fldCharType="end"/>
      </w:r>
      <w:bookmarkEnd w:id="15"/>
      <w:r>
        <w:t xml:space="preserve">. Insufficient funding of </w:t>
      </w:r>
      <w:r>
        <w:lastRenderedPageBreak/>
        <w:t xml:space="preserve">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6" w:name="__Fieldmark__252_362668386"/>
      <w:r>
        <w:rPr>
          <w:rFonts w:cs="Calibri"/>
        </w:rPr>
        <w:t>(Kearney et al., 2020; Pringle, 2017)</w:t>
      </w:r>
      <w:r>
        <w:fldChar w:fldCharType="end"/>
      </w:r>
      <w:bookmarkEnd w:id="16"/>
      <w:r>
        <w:t>. It is difficult to design and implement effective conservation action that targets the correct drivers at the correct spatial and temporal scales when available funding is</w:t>
      </w:r>
      <w:r w:rsidR="003838B1">
        <w:t xml:space="preserve"> based on short-term projects and is</w:t>
      </w:r>
      <w:r>
        <w:t xml:space="preserve"> consistently below what is required </w:t>
      </w:r>
      <w:r>
        <w:fldChar w:fldCharType="begin"/>
      </w:r>
      <w:r w:rsidR="003838B1">
        <w:instrText xml:space="preserve"> 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fldChar w:fldCharType="separate"/>
      </w:r>
      <w:bookmarkStart w:id="17" w:name="__Fieldmark__264_362668386"/>
      <w:r w:rsidR="003838B1" w:rsidRPr="003838B1">
        <w:rPr>
          <w:rFonts w:ascii="Calibri" w:hAnsi="Calibri" w:cs="Calibri"/>
        </w:rPr>
        <w:t>(Sayer and Wells, 2004; Tulloch et al., 2020)</w:t>
      </w:r>
      <w:r>
        <w:fldChar w:fldCharType="end"/>
      </w:r>
      <w:bookmarkEnd w:id="17"/>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8" w:name="__Fieldmark__276_362668386"/>
      <w:r>
        <w:rPr>
          <w:rFonts w:cs="Calibri"/>
        </w:rPr>
        <w:t>(Fryxell et al., 2010)</w:t>
      </w:r>
      <w:r>
        <w:fldChar w:fldCharType="end"/>
      </w:r>
      <w:bookmarkEnd w:id="18"/>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19" w:name="__Fieldmark__282_362668386"/>
      <w:r>
        <w:rPr>
          <w:rFonts w:cs="Calibri"/>
        </w:rPr>
        <w:t>(see Ervin, 2003; Utami et al., 2020)</w:t>
      </w:r>
      <w:r>
        <w:fldChar w:fldCharType="end"/>
      </w:r>
      <w:bookmarkEnd w:id="19"/>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0" w:name="__Fieldmark__297_362668386"/>
      <w:r>
        <w:rPr>
          <w:rFonts w:cs="Calibri"/>
        </w:rPr>
        <w:t>(Wilson et al., 2006)</w:t>
      </w:r>
      <w:r>
        <w:fldChar w:fldCharType="end"/>
      </w:r>
      <w:bookmarkEnd w:id="20"/>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1" w:name="__Fieldmark__305_362668386"/>
      <w:r>
        <w:rPr>
          <w:rFonts w:cs="Calibri"/>
        </w:rPr>
        <w:t>(Armsworth et al., 2018; Murdoch et al., 2010)</w:t>
      </w:r>
      <w:r>
        <w:fldChar w:fldCharType="end"/>
      </w:r>
      <w:bookmarkEnd w:id="21"/>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310_362668386"/>
      <w:r>
        <w:rPr>
          <w:rFonts w:cs="Calibri"/>
        </w:rPr>
        <w:t>(Meir et al., 2004; Wilson et al., 2006)</w:t>
      </w:r>
      <w:r>
        <w:fldChar w:fldCharType="end"/>
      </w:r>
      <w:bookmarkEnd w:id="22"/>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3" w:name="__Fieldmark__315_362668386"/>
      <w:r>
        <w:rPr>
          <w:rFonts w:cs="Calibri"/>
        </w:rPr>
        <w:t>(Fishburn et al., 2013)</w:t>
      </w:r>
      <w:r>
        <w:fldChar w:fldCharType="end"/>
      </w:r>
      <w:bookmarkEnd w:id="23"/>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4" w:name="__Fieldmark__320_362668386"/>
      <w:r>
        <w:rPr>
          <w:rFonts w:cs="Calibri"/>
        </w:rPr>
        <w:t>(Tulloch et al., 2020)</w:t>
      </w:r>
      <w:r>
        <w:fldChar w:fldCharType="end"/>
      </w:r>
      <w:bookmarkEnd w:id="24"/>
      <w:r>
        <w:t>.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w:t>
      </w:r>
      <w:proofErr w:type="gramStart"/>
      <w:r>
        <w:t xml:space="preserve">?  </w:t>
      </w:r>
      <w:proofErr w:type="gramEnd"/>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5" w:name="__Fieldmark__333_362668386"/>
      <w:r>
        <w:rPr>
          <w:rFonts w:cs="Calibri"/>
        </w:rPr>
        <w:t>(McBride et al., 2007)</w:t>
      </w:r>
      <w:r>
        <w:fldChar w:fldCharType="end"/>
      </w:r>
      <w:bookmarkEnd w:id="25"/>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40_362668386"/>
      <w:r>
        <w:rPr>
          <w:rFonts w:cs="Calibri"/>
        </w:rPr>
        <w:t>(McBride et al., 2007)</w:t>
      </w:r>
      <w:r>
        <w:fldChar w:fldCharType="end"/>
      </w:r>
      <w:bookmarkEnd w:id="26"/>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7" w:name="__Fieldmark__347_362668386"/>
      <w:r>
        <w:rPr>
          <w:rFonts w:cs="Calibri"/>
        </w:rPr>
        <w:t>(Lennox and Armsworth, 2011)</w:t>
      </w:r>
      <w:r>
        <w:fldChar w:fldCharType="end"/>
      </w:r>
      <w:bookmarkEnd w:id="27"/>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8" w:name="__Fieldmark__357_362668386"/>
      <w:r>
        <w:rPr>
          <w:rFonts w:cs="Calibri"/>
        </w:rPr>
        <w:t>(Wittemyer et al., 2008)</w:t>
      </w:r>
      <w:r>
        <w:fldChar w:fldCharType="end"/>
      </w:r>
      <w:bookmarkEnd w:id="28"/>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29" w:name="__Fieldmark__362_362668386"/>
      <w:r>
        <w:rPr>
          <w:rFonts w:cs="Calibri"/>
        </w:rPr>
        <w:t>(Lindsey et al., 2014)</w:t>
      </w:r>
      <w:r>
        <w:fldChar w:fldCharType="end"/>
      </w:r>
      <w:bookmarkEnd w:id="29"/>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0"/>
      <w:r w:rsidR="00C2025A">
        <w:t>We are not aware of any previous studies that have investigated these aspects of conservation investment within social-ecological systems.</w:t>
      </w:r>
      <w:commentRangeEnd w:id="30"/>
      <w:r w:rsidR="00C2025A">
        <w:rPr>
          <w:rStyle w:val="CommentReference"/>
        </w:rPr>
        <w:commentReference w:id="30"/>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1" w:name="__Fieldmark__368_362668386"/>
      <w:r>
        <w:rPr>
          <w:rFonts w:cs="Calibri"/>
        </w:rPr>
        <w:t>(Santana et al., 2014)</w:t>
      </w:r>
      <w:r>
        <w:fldChar w:fldCharType="end"/>
      </w:r>
      <w:bookmarkEnd w:id="3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2" w:name="__Fieldmark__380_362668386"/>
      <w:r>
        <w:rPr>
          <w:rFonts w:cs="Calibri"/>
        </w:rPr>
        <w:t>(Mouquet et al., 2015)</w:t>
      </w:r>
      <w:r>
        <w:fldChar w:fldCharType="end"/>
      </w:r>
      <w:bookmarkEnd w:id="32"/>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3" w:name="__Fieldmark__395_362668386"/>
      <w:r>
        <w:rPr>
          <w:rFonts w:cs="Calibri"/>
        </w:rPr>
        <w:t>(Doak and Mills, 1994)</w:t>
      </w:r>
      <w:r>
        <w:fldChar w:fldCharType="end"/>
      </w:r>
      <w:bookmarkEnd w:id="3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4" w:name="__Fieldmark__408_362668386"/>
      <w:r>
        <w:rPr>
          <w:rFonts w:cs="Calibri"/>
        </w:rPr>
        <w:t>(Green et al., 2005)</w:t>
      </w:r>
      <w:r>
        <w:fldChar w:fldCharType="end"/>
      </w:r>
      <w:bookmarkEnd w:id="34"/>
      <w:r>
        <w:t xml:space="preserve">. Mathematical models offer the opportunity to take the well-studied component parts of a complex system and reassemble them in ways that capture their fundamental properties whilst allowing for </w:t>
      </w:r>
      <w:r>
        <w:lastRenderedPageBreak/>
        <w:t xml:space="preserve">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5" w:name="__Fieldmark__418_362668386"/>
      <w:r>
        <w:rPr>
          <w:rFonts w:cs="Calibri"/>
        </w:rPr>
        <w:t>(Wilson, 1999)</w:t>
      </w:r>
      <w:r>
        <w:fldChar w:fldCharType="end"/>
      </w:r>
      <w:bookmarkEnd w:id="3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6" w:name="__Fieldmark__434_362668386"/>
      <w:r>
        <w:rPr>
          <w:rFonts w:cs="Calibri"/>
        </w:rPr>
        <w:t>(Levins, 1966)</w:t>
      </w:r>
      <w:r>
        <w:fldChar w:fldCharType="end"/>
      </w:r>
      <w:bookmarkEnd w:id="3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7" w:name="__Fieldmark__458_362668386"/>
      <w:r>
        <w:rPr>
          <w:rFonts w:cs="Calibri"/>
        </w:rPr>
        <w:t>(Green et al., 2005)</w:t>
      </w:r>
      <w:r>
        <w:fldChar w:fldCharType="end"/>
      </w:r>
      <w:bookmarkEnd w:id="37"/>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8" w:name="__Fieldmark__467_362668386"/>
      <w:r>
        <w:rPr>
          <w:rFonts w:cs="Calibri"/>
        </w:rPr>
        <w:t>(Berkes et al., 2000)</w:t>
      </w:r>
      <w:r>
        <w:fldChar w:fldCharType="end"/>
      </w:r>
      <w:bookmarkEnd w:id="38"/>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39" w:name="__Fieldmark__477_362668386"/>
      <w:r w:rsidR="00721CB0" w:rsidRPr="00721CB0">
        <w:rPr>
          <w:rFonts w:ascii="Calibri" w:hAnsi="Calibri" w:cs="Calibri"/>
        </w:rPr>
        <w:t>(Bunnefeld et al., 2011; Duthie et al., 2018a)</w:t>
      </w:r>
      <w:r>
        <w:fldChar w:fldCharType="end"/>
      </w:r>
      <w:bookmarkEnd w:id="39"/>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0" w:name="__Fieldmark__499_362668386"/>
      <w:r w:rsidR="00721CB0" w:rsidRPr="00721CB0">
        <w:rPr>
          <w:rFonts w:ascii="Calibri" w:hAnsi="Calibri" w:cs="Calibri"/>
        </w:rPr>
        <w:t>(Duthie et al., 2018a)</w:t>
      </w:r>
      <w:r>
        <w:fldChar w:fldCharType="end"/>
      </w:r>
      <w:bookmarkEnd w:id="40"/>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1"/>
      <w:commentRangeStart w:id="42"/>
      <w:r>
        <w:t xml:space="preserve">mechanisms.  </w:t>
      </w:r>
      <w:commentRangeEnd w:id="41"/>
      <w:r w:rsidR="00380D43">
        <w:rPr>
          <w:rStyle w:val="CommentReference"/>
        </w:rPr>
        <w:commentReference w:id="41"/>
      </w:r>
      <w:commentRangeEnd w:id="42"/>
      <w:r w:rsidR="00C2025A">
        <w:rPr>
          <w:rStyle w:val="CommentReference"/>
        </w:rPr>
        <w:commentReference w:id="42"/>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011E247F"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3" w:name="__Fieldmark__518_362668386"/>
      <w:r w:rsidR="00721CB0" w:rsidRPr="00721CB0">
        <w:rPr>
          <w:rFonts w:ascii="Calibri" w:hAnsi="Calibri" w:cs="Calibri"/>
        </w:rPr>
        <w:t>(Duthie et al., 2018a)</w:t>
      </w:r>
      <w:r>
        <w:fldChar w:fldCharType="end"/>
      </w:r>
      <w:bookmarkEnd w:id="43"/>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w:t>
      </w:r>
      <w:r>
        <w:lastRenderedPageBreak/>
        <w:t xml:space="preserve">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44" w:name="__Fieldmark__538_362668386"/>
      <w:r w:rsidR="00721CB0" w:rsidRPr="00721CB0">
        <w:rPr>
          <w:rFonts w:ascii="Calibri" w:hAnsi="Calibri" w:cs="Calibri"/>
        </w:rPr>
        <w:t>(Cusack et al., 2020; Duthie et al., 2018a; Nilsson et al., 2021)</w:t>
      </w:r>
      <w:r>
        <w:fldChar w:fldCharType="end"/>
      </w:r>
      <w:bookmarkEnd w:id="44"/>
      <w:r>
        <w:t xml:space="preserve">. </w:t>
      </w:r>
    </w:p>
    <w:p w14:paraId="799EA71F" w14:textId="77777777" w:rsidR="002D4DF5" w:rsidRDefault="0089199E">
      <w:commentRangeStart w:id="45"/>
      <w:r>
        <w:rPr>
          <w:i/>
          <w:iCs/>
        </w:rPr>
        <w:t>Genetic algorithm (GA)</w:t>
      </w:r>
      <w:commentRangeEnd w:id="45"/>
      <w:r w:rsidR="00421EF3">
        <w:rPr>
          <w:rStyle w:val="CommentReference"/>
        </w:rPr>
        <w:commentReference w:id="45"/>
      </w:r>
    </w:p>
    <w:p w14:paraId="567E59E7" w14:textId="1027E964"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w:t>
      </w:r>
      <w:r>
        <w:lastRenderedPageBreak/>
        <w:t>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0D19FC69" w14:textId="38F50CA1" w:rsidR="003517F0" w:rsidRDefault="003517F0"/>
    <w:p w14:paraId="2BF25714" w14:textId="77777777" w:rsidR="003517F0" w:rsidRDefault="003517F0"/>
    <w:p w14:paraId="246D5CA3" w14:textId="77777777" w:rsidR="002D4DF5" w:rsidRDefault="0089199E">
      <w:pPr>
        <w:rPr>
          <w:u w:val="single"/>
        </w:rPr>
      </w:pPr>
      <w:r>
        <w:rPr>
          <w:u w:val="single"/>
        </w:rPr>
        <w:lastRenderedPageBreak/>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3FEDC994"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w:t>
      </w:r>
      <w:r>
        <w:lastRenderedPageBreak/>
        <w:t>simulate strong exogenous drivers of deforestation that are found around the world, particularly in the tropics</w:t>
      </w:r>
      <w:r w:rsidR="00A8483F">
        <w:t xml:space="preserve"> </w:t>
      </w:r>
      <w:r w:rsidR="00A8483F">
        <w:fldChar w:fldCharType="begin"/>
      </w:r>
      <w:r w:rsidR="00A8483F">
        <w:instrText xml:space="preserve"> ADDIN ZOTERO_ITEM CSL_CITATION {"citationID":"PQScfyRC","properties":{"formattedCitation":"(Ceddia, 2019; Davis et al., 2015)","plainCitation":"(Ceddia, 2019; Davis et al., 2015)","noteIndex":0},"citationItems":[{"id":174,"uris":["http://zotero.org/users/2170232/items/8DFGLQ2A"],"uri":["http://zotero.org/users/2170232/items/8DFGLQ2A"],"itemData":{"id":174,"type":"article-journal","abstract":"Agricultural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A8483F">
        <w:fldChar w:fldCharType="separate"/>
      </w:r>
      <w:r w:rsidR="00A8483F" w:rsidRPr="00A8483F">
        <w:rPr>
          <w:rFonts w:ascii="Calibri" w:hAnsi="Calibri" w:cs="Calibri"/>
        </w:rPr>
        <w:t>(Ceddia, 2019; Davis et al., 2015)</w:t>
      </w:r>
      <w:r w:rsidR="00A8483F">
        <w:fldChar w:fldCharType="end"/>
      </w:r>
      <w:r>
        <w:t xml:space="preserve">. </w:t>
      </w:r>
    </w:p>
    <w:p w14:paraId="44423F58" w14:textId="77777777" w:rsidR="002D4DF5" w:rsidRDefault="0089199E">
      <w:pPr>
        <w:rPr>
          <w:u w:val="single"/>
        </w:rPr>
      </w:pPr>
      <w:r>
        <w:rPr>
          <w:u w:val="single"/>
        </w:rPr>
        <w:t>Manager</w:t>
      </w:r>
    </w:p>
    <w:p w14:paraId="3C84D9B4" w14:textId="703646B0"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48C2857C"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6" w:name="__Fieldmark__610_362668386"/>
      <w:r w:rsidR="00721CB0" w:rsidRPr="00721CB0">
        <w:rPr>
          <w:rFonts w:ascii="Calibri" w:hAnsi="Calibri" w:cs="Calibri"/>
        </w:rPr>
        <w:t>(Duthie et al., 2018a)</w:t>
      </w:r>
      <w:r>
        <w:fldChar w:fldCharType="end"/>
      </w:r>
      <w:bookmarkEnd w:id="46"/>
      <w:r>
        <w:t xml:space="preserve">. Therefore, equal budgets do not necessarily equate to equal </w:t>
      </w:r>
      <w:r>
        <w:lastRenderedPageBreak/>
        <w:t xml:space="preserve">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47" w:name="__Fieldmark__617_362668386"/>
      <w:r>
        <w:rPr>
          <w:rFonts w:cs="Calibri"/>
        </w:rPr>
        <w:t>(v4.0.4, R Core Team, 2021)</w:t>
      </w:r>
      <w:r>
        <w:fldChar w:fldCharType="end"/>
      </w:r>
      <w:bookmarkEnd w:id="47"/>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E33B965"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1)</w:t>
      </w:r>
      <w:r>
        <w:t>.</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407D32" w:rsidRDefault="0089199E">
      <m:oMathPara>
        <m:oMathParaPr>
          <m:jc m:val="center"/>
        </m:oMathParaPr>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79FD7F5" w14:textId="03E0B3BB" w:rsidR="00407D32" w:rsidRDefault="0089199E" w:rsidP="00D50C48">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w:t>
      </w:r>
      <w:r>
        <w:lastRenderedPageBreak/>
        <w:t>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54B0740D"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26874456"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sine wave </w:t>
      </w:r>
      <m:oMath>
        <m:r>
          <w:rPr>
            <w:rFonts w:ascii="Cambria Math" w:eastAsiaTheme="minorEastAsia"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2 shows 10 examples, see Supporting Information section 4 for all </w:t>
      </w:r>
      <w:r w:rsidR="00B8415A">
        <w:t>100</w:t>
      </w:r>
      <w:r w:rsidR="0089199E">
        <w:t xml:space="preserve"> waves used in the simulations). </w:t>
      </w:r>
    </w:p>
    <w:p w14:paraId="5C020B4D" w14:textId="77777777" w:rsidR="002D4DF5" w:rsidRDefault="0089199E">
      <w:pPr>
        <w:rPr>
          <w:u w:val="single"/>
        </w:rPr>
      </w:pPr>
      <w:r>
        <w:rPr>
          <w:u w:val="single"/>
        </w:rPr>
        <w:t>Scenario 5</w:t>
      </w:r>
    </w:p>
    <w:p w14:paraId="55787DDC" w14:textId="74F583C9"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from, thus increasing the potential amplitude of each wave, and making the changes in wave frequency more extreme (Figure 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48"/>
      <w:commentRangeStart w:id="49"/>
      <w:r>
        <w:t>ts to 25,000, using,</w:t>
      </w:r>
      <w:commentRangeEnd w:id="48"/>
      <w:r>
        <w:commentReference w:id="48"/>
      </w:r>
      <w:commentRangeEnd w:id="49"/>
      <w:r w:rsidR="006668D0">
        <w:rPr>
          <w:rStyle w:val="CommentReference"/>
        </w:rPr>
        <w:commentReference w:id="49"/>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w:t>
      </w:r>
      <w:proofErr w:type="gramStart"/>
      <w:r>
        <w:t>sections.</w:t>
      </w:r>
      <w:proofErr w:type="gramEnd"/>
      <w:r>
        <w:t xml:space="preserve">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4CE710F0" w:rsidR="002D4DF5" w:rsidRDefault="00B8415A">
      <w:r>
        <w:rPr>
          <w:rFonts w:eastAsiaTheme="minorEastAsia"/>
        </w:rPr>
        <w:lastRenderedPageBreak/>
        <w:t>where</w:t>
      </w:r>
      <w:r w:rsidR="0089199E">
        <w:rPr>
          <w:rFonts w:eastAsiaTheme="minorEastAsia"/>
        </w:rPr>
        <w:t xml:space="preserve"> </w:t>
      </w:r>
      <w:proofErr w:type="spellStart"/>
      <w:r w:rsidR="0089199E">
        <w:rPr>
          <w:rFonts w:eastAsiaTheme="minorEastAsia"/>
          <w:i/>
          <w:iCs/>
        </w:rPr>
        <w:t>nUA</w:t>
      </w:r>
      <w:proofErr w:type="spellEnd"/>
      <w:r w:rsidR="0089199E">
        <w:rPr>
          <w:rFonts w:eastAsiaTheme="minorEastAsia"/>
        </w:rPr>
        <w:t xml:space="preserve"> is the number of user actions (i.e., the number of trees felled), </w:t>
      </w:r>
      <w:r w:rsidR="0089199E">
        <w:rPr>
          <w:rFonts w:eastAsiaTheme="minorEastAsia"/>
          <w:i/>
          <w:iCs/>
        </w:rPr>
        <w:t>CR</w:t>
      </w:r>
      <w:r w:rsidR="0089199E">
        <w:rPr>
          <w:rFonts w:eastAsiaTheme="minorEastAsia"/>
        </w:rPr>
        <w:t xml:space="preserve"> is the community resources (user budget), and </w:t>
      </w:r>
      <w:r w:rsidR="0089199E">
        <w:rPr>
          <w:rFonts w:eastAsiaTheme="minorEastAsia"/>
          <w:i/>
          <w:iCs/>
        </w:rPr>
        <w:t>MB</w:t>
      </w:r>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11"/>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50"/>
      <w:commentRangeStart w:id="51"/>
      <w:r>
        <w:t>This is despite having a felling count that increased linearly throughout the simulation (Figure 5).</w:t>
      </w:r>
      <w:commentRangeEnd w:id="50"/>
      <w:r>
        <w:commentReference w:id="50"/>
      </w:r>
      <w:commentRangeEnd w:id="51"/>
      <w:r w:rsidR="00D24518">
        <w:rPr>
          <w:rStyle w:val="CommentReference"/>
        </w:rPr>
        <w:commentReference w:id="51"/>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57D10233"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w:t>
      </w:r>
      <w:proofErr w:type="gramStart"/>
      <w:r>
        <w:t xml:space="preserve">.  </w:t>
      </w:r>
      <w:proofErr w:type="gramEnd"/>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2"/>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3"/>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4"/>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5"/>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0062FE01" w:rsidR="002D4DF5" w:rsidRDefault="0089199E">
      <w:commentRangeStart w:id="52"/>
      <w:r>
        <w:t>Global funding for nature conservation is far below 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53" w:name="__Fieldmark__1068_362668386"/>
      <w:r>
        <w:rPr>
          <w:rFonts w:cs="Calibri"/>
        </w:rPr>
        <w:t>(Freeling and Connell, 2020; Laufer and Jones, 2021)</w:t>
      </w:r>
      <w:r>
        <w:fldChar w:fldCharType="end"/>
      </w:r>
      <w:bookmarkEnd w:id="53"/>
      <w:r>
        <w:t xml:space="preserve">, and the funding that is available is rarely stable or sustainable over periods of more than a few years. To maximise conservation gains it is necessary to </w:t>
      </w:r>
      <w:r>
        <w:lastRenderedPageBreak/>
        <w:t>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commentRangeEnd w:id="52"/>
      <w:r w:rsidR="00556291">
        <w:rPr>
          <w:rStyle w:val="CommentReference"/>
        </w:rPr>
        <w:commentReference w:id="52"/>
      </w:r>
    </w:p>
    <w:p w14:paraId="70E35E6A" w14:textId="77777777" w:rsidR="002D4DF5" w:rsidRDefault="0089199E">
      <w:pPr>
        <w:rPr>
          <w:i/>
          <w:iCs/>
        </w:rPr>
      </w:pPr>
      <w:r>
        <w:rPr>
          <w:i/>
          <w:iCs/>
        </w:rPr>
        <w:t>Primary scenarios (scenarios 1 to 3)</w:t>
      </w:r>
    </w:p>
    <w:p w14:paraId="5DAA033D" w14:textId="53C3F06A"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w:t>
      </w:r>
      <w:r w:rsidR="007853F1">
        <w:t xml:space="preserve"> the increasing budget</w:t>
      </w:r>
      <w:r>
        <w:t xml:space="preserve"> </w:t>
      </w:r>
      <w:r w:rsidR="007853F1">
        <w:t>exceeds</w:t>
      </w:r>
      <w:r>
        <w:t xml:space="preserve">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54"/>
      <w:commentRangeStart w:id="55"/>
      <w:r>
        <w:t xml:space="preserve">attempted here. </w:t>
      </w:r>
      <w:commentRangeEnd w:id="54"/>
      <w:r>
        <w:rPr>
          <w:rStyle w:val="CommentReference"/>
        </w:rPr>
        <w:commentReference w:id="54"/>
      </w:r>
      <w:commentRangeEnd w:id="55"/>
      <w:r w:rsidR="00462612">
        <w:rPr>
          <w:rStyle w:val="CommentReference"/>
        </w:rPr>
        <w:commentReference w:id="55"/>
      </w:r>
    </w:p>
    <w:p w14:paraId="5E4B2961" w14:textId="17022529"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w:t>
      </w:r>
      <w:r w:rsidR="00B81406">
        <w:t xml:space="preserve"> </w:t>
      </w:r>
      <w:commentRangeStart w:id="56"/>
      <w:r w:rsidR="00B81406">
        <w:fldChar w:fldCharType="begin"/>
      </w:r>
      <w:r w:rsidR="00B81406">
        <w:instrText xml:space="preserve"> 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w:t>
      </w:r>
      <w:commentRangeEnd w:id="56"/>
      <w:r w:rsidR="00B81406">
        <w:rPr>
          <w:rStyle w:val="CommentReference"/>
        </w:rPr>
        <w:commentReference w:id="56"/>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57"/>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57"/>
      <w:r w:rsidR="00173C07">
        <w:rPr>
          <w:rStyle w:val="CommentReference"/>
        </w:rPr>
        <w:commentReference w:id="57"/>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485861F2" w14:textId="77777777" w:rsidR="00574A12" w:rsidRDefault="00574A12"/>
    <w:p w14:paraId="047F4F80" w14:textId="77777777" w:rsidR="002D4DF5" w:rsidRDefault="0089199E">
      <w:r>
        <w:rPr>
          <w:i/>
          <w:iCs/>
        </w:rPr>
        <w:lastRenderedPageBreak/>
        <w:t>Uncertainty and unpredictability in funding</w:t>
      </w:r>
    </w:p>
    <w:p w14:paraId="23198C23" w14:textId="628306AF" w:rsidR="002D4DF5" w:rsidRDefault="0089199E">
      <w:r>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(Barnes et al., 2018; Gill et al., 2017; Gollin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58"/>
      <w:commentRangeStart w:id="59"/>
      <w:r>
        <w:t>biodiversity loss.</w:t>
      </w:r>
      <w:commentRangeEnd w:id="58"/>
      <w:r w:rsidR="00444C49">
        <w:rPr>
          <w:rStyle w:val="CommentReference"/>
        </w:rPr>
        <w:commentReference w:id="58"/>
      </w:r>
      <w:commentRangeEnd w:id="59"/>
      <w:r w:rsidR="00622F30">
        <w:rPr>
          <w:rStyle w:val="CommentReference"/>
        </w:rPr>
        <w:commentReference w:id="59"/>
      </w:r>
    </w:p>
    <w:p w14:paraId="7BF84810" w14:textId="77777777" w:rsidR="002D4DF5" w:rsidRDefault="0089199E">
      <w:pPr>
        <w:rPr>
          <w:i/>
          <w:iCs/>
        </w:rPr>
      </w:pPr>
      <w:r>
        <w:rPr>
          <w:i/>
          <w:iCs/>
        </w:rPr>
        <w:t xml:space="preserve">Key messages </w:t>
      </w:r>
    </w:p>
    <w:p w14:paraId="7EF17C8E" w14:textId="7AC29CF8"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w:t>
      </w:r>
      <w:r w:rsidR="00B81406">
        <w:t xml:space="preserve"> </w:t>
      </w:r>
      <w:r w:rsidR="00B81406">
        <w:fldChar w:fldCharType="begin"/>
      </w:r>
      <w:r w:rsidR="00B81406">
        <w:instrText xml:space="preserve"> 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1443F69" w14:textId="6032EE0D"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0241614F" w14:textId="14C8005D" w:rsidR="002D4DF5" w:rsidRDefault="0089199E">
      <w:pPr>
        <w:rPr>
          <w:i/>
          <w:iCs/>
        </w:rPr>
      </w:pPr>
      <w:r>
        <w:rPr>
          <w:i/>
          <w:iCs/>
        </w:rPr>
        <w:t xml:space="preserve">Conclusions – </w:t>
      </w:r>
      <w:r w:rsidR="00223B57">
        <w:rPr>
          <w:i/>
          <w:iCs/>
        </w:rPr>
        <w:t>the way forward</w:t>
      </w:r>
    </w:p>
    <w:p w14:paraId="213ED617" w14:textId="2A2CAE10"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60" w:name="__Fieldmark__1102_362668386"/>
      <w:r>
        <w:rPr>
          <w:rFonts w:cs="Calibri"/>
        </w:rPr>
        <w:t>(Echols et al., 2019; Larson et al., 2021)</w:t>
      </w:r>
      <w:r>
        <w:fldChar w:fldCharType="end"/>
      </w:r>
      <w:bookmarkEnd w:id="60"/>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1" w:name="__Fieldmark__1107_362668386"/>
      <w:r>
        <w:rPr>
          <w:rFonts w:cs="Calibri"/>
        </w:rPr>
        <w:t>(Laufer and Jones, 2021)</w:t>
      </w:r>
      <w:r>
        <w:fldChar w:fldCharType="end"/>
      </w:r>
      <w:bookmarkEnd w:id="61"/>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2" w:name="__Fieldmark__1112_362668386"/>
      <w:r>
        <w:rPr>
          <w:rFonts w:cs="Calibri"/>
        </w:rPr>
        <w:t>(Echols et al., 2019)</w:t>
      </w:r>
      <w:r>
        <w:fldChar w:fldCharType="end"/>
      </w:r>
      <w:bookmarkEnd w:id="62"/>
      <w:r>
        <w:t>.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w:t>
      </w:r>
      <w:r w:rsidR="00574A12">
        <w:t xml:space="preserve"> </w:t>
      </w:r>
      <w:r w:rsidR="00574A12">
        <w:fldChar w:fldCharType="begin"/>
      </w:r>
      <w:r w:rsidR="00574A12">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574A12">
        <w:fldChar w:fldCharType="separate"/>
      </w:r>
      <w:r w:rsidR="00574A12" w:rsidRPr="00574A12">
        <w:rPr>
          <w:rFonts w:ascii="Calibri" w:hAnsi="Calibri" w:cs="Calibri"/>
        </w:rPr>
        <w:t>(Sayer and Wells, 2004)</w:t>
      </w:r>
      <w:r w:rsidR="00574A12">
        <w:fldChar w:fldCharType="end"/>
      </w:r>
      <w:r>
        <w:t xml:space="preserve">. </w:t>
      </w:r>
    </w:p>
    <w:p w14:paraId="02A7E14A" w14:textId="1C865102"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3" w:name="__Fieldmark__1119_362668386"/>
      <w:r>
        <w:rPr>
          <w:rFonts w:cs="Calibri"/>
        </w:rPr>
        <w:t>(Clark et al., 2018)</w:t>
      </w:r>
      <w:r>
        <w:fldChar w:fldCharType="end"/>
      </w:r>
      <w:bookmarkEnd w:id="63"/>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4" w:name="__Fieldmark__1124_362668386"/>
      <w:r>
        <w:rPr>
          <w:rFonts w:cs="Calibri"/>
        </w:rPr>
        <w:t>(Evans et al., 2020)</w:t>
      </w:r>
      <w:r>
        <w:fldChar w:fldCharType="end"/>
      </w:r>
      <w:bookmarkEnd w:id="64"/>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65" w:name="__Fieldmark__1129_362668386"/>
      <w:r>
        <w:rPr>
          <w:rFonts w:cs="Calibri"/>
        </w:rPr>
        <w:t>(Lytras et al., 2021)</w:t>
      </w:r>
      <w:r>
        <w:fldChar w:fldCharType="end"/>
      </w:r>
      <w:bookmarkEnd w:id="65"/>
      <w:r>
        <w:t xml:space="preserve"> is likely to cause a decrease in government spending on conservation, at least in </w:t>
      </w:r>
      <w:r>
        <w:lastRenderedPageBreak/>
        <w:t xml:space="preserve">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6" w:name="__Fieldmark__1134_362668386"/>
      <w:r>
        <w:rPr>
          <w:rFonts w:cs="Calibri"/>
        </w:rPr>
        <w:t>(Corlett et al., 2020; Evans et al., 2020)</w:t>
      </w:r>
      <w:r>
        <w:fldChar w:fldCharType="end"/>
      </w:r>
      <w:bookmarkEnd w:id="66"/>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7" w:name="__Fieldmark__1139_362668386"/>
      <w:r>
        <w:rPr>
          <w:rFonts w:cs="Calibri"/>
        </w:rPr>
        <w:t>(Echols et al., 2019)</w:t>
      </w:r>
      <w:r>
        <w:fldChar w:fldCharType="end"/>
      </w:r>
      <w:bookmarkEnd w:id="67"/>
      <w:r>
        <w:t>.</w:t>
      </w:r>
    </w:p>
    <w:p w14:paraId="7D7A8F73" w14:textId="03AEF19E"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68" w:name="__Fieldmark__1146_362668386"/>
      <w:r>
        <w:rPr>
          <w:rFonts w:cs="Calibri"/>
        </w:rPr>
        <w:t>(Gruby et al., 2021)</w:t>
      </w:r>
      <w:r>
        <w:fldChar w:fldCharType="end"/>
      </w:r>
      <w:bookmarkEnd w:id="68"/>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69" w:name="__Fieldmark__1151_362668386"/>
      <w:r>
        <w:rPr>
          <w:rFonts w:cs="Calibri"/>
        </w:rPr>
        <w:t>(Betsill et al., 2021)</w:t>
      </w:r>
      <w:r>
        <w:fldChar w:fldCharType="end"/>
      </w:r>
      <w:bookmarkEnd w:id="69"/>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70" w:name="__Fieldmark__1157_362668386"/>
      <w:r>
        <w:rPr>
          <w:rFonts w:cs="Calibri"/>
        </w:rPr>
        <w:t>(Freeling and Connell, 2020)</w:t>
      </w:r>
      <w:r>
        <w:fldChar w:fldCharType="end"/>
      </w:r>
      <w:bookmarkEnd w:id="70"/>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6">
        <w:r>
          <w:rPr>
            <w:rStyle w:val="InternetLink"/>
          </w:rPr>
          <w:t>www.biocarbonfund-isfl.org</w:t>
        </w:r>
      </w:hyperlink>
      <w:r>
        <w:t>), the Global Environment Facility (</w:t>
      </w:r>
      <w:hyperlink r:id="rId17">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1" w:name="__Fieldmark__1174_362668386"/>
      <w:r>
        <w:rPr>
          <w:rFonts w:cs="Calibri"/>
        </w:rPr>
        <w:t>(Clark et al., 2018)</w:t>
      </w:r>
      <w:r>
        <w:fldChar w:fldCharType="end"/>
      </w:r>
      <w:bookmarkEnd w:id="71"/>
      <w:r>
        <w:t xml:space="preserve">. </w:t>
      </w:r>
    </w:p>
    <w:p w14:paraId="007F8FB9" w14:textId="0F0C293F" w:rsidR="00BC1DD8" w:rsidRDefault="00640B53" w:rsidP="00BC1DD8">
      <w:r>
        <w:t>Payment for environmental services (PES) schemes are market-based mechanism</w:t>
      </w:r>
      <w:r w:rsidR="003F20B0">
        <w:t>s</w:t>
      </w:r>
      <w:r>
        <w:t xml:space="preserve"> that can provide additional, and potentially long-term, funding for conservation by </w:t>
      </w:r>
      <w:r w:rsidR="00803620">
        <w:t xml:space="preserve">providing financial incentives for certain land management practices that </w:t>
      </w:r>
      <w:r w:rsidR="003F20B0">
        <w:t xml:space="preserve">preserve benefits generated by natural systems </w:t>
      </w:r>
      <w:r w:rsidR="003F20B0">
        <w:fldChar w:fldCharType="begin"/>
      </w:r>
      <w:r w:rsidR="003F20B0">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3F20B0">
        <w:fldChar w:fldCharType="separate"/>
      </w:r>
      <w:r w:rsidR="003F20B0" w:rsidRPr="003F20B0">
        <w:rPr>
          <w:rFonts w:ascii="Calibri" w:hAnsi="Calibri" w:cs="Calibri"/>
        </w:rPr>
        <w:t>(Redford and Adams, 2009)</w:t>
      </w:r>
      <w:r w:rsidR="003F20B0">
        <w:fldChar w:fldCharType="end"/>
      </w:r>
      <w:r w:rsidR="003F20B0">
        <w:t xml:space="preserve">. </w:t>
      </w:r>
      <w:r w:rsidR="00A457CE">
        <w:t xml:space="preserve">Over the last two decades, the number of PES programmes have expanded rapidly around the world, with over 550 active programmes covering watersheds, biodiversity and habitats, and forest and carbon </w:t>
      </w:r>
      <w:r w:rsidR="00A457CE">
        <w:fldChar w:fldCharType="begin"/>
      </w:r>
      <w:r w:rsidR="00A457CE">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457CE">
        <w:fldChar w:fldCharType="separate"/>
      </w:r>
      <w:r w:rsidR="00A457CE" w:rsidRPr="00A457CE">
        <w:rPr>
          <w:rFonts w:ascii="Calibri" w:hAnsi="Calibri" w:cs="Calibri"/>
        </w:rPr>
        <w:t>(Salzman et al., 2018)</w:t>
      </w:r>
      <w:r w:rsidR="00A457CE">
        <w:fldChar w:fldCharType="end"/>
      </w:r>
      <w:r w:rsidR="00A457CE">
        <w:t xml:space="preserve">. </w:t>
      </w:r>
      <w:r w:rsidR="00733289">
        <w:t xml:space="preserve">In contrast to traditional grant-based funding, PES has the potential to provide steady, long-term funds for conservation </w:t>
      </w:r>
      <w:r w:rsidR="00733289">
        <w:fldChar w:fldCharType="begin"/>
      </w:r>
      <w:r w:rsidR="00733289">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rsidR="00733289">
        <w:fldChar w:fldCharType="separate"/>
      </w:r>
      <w:r w:rsidR="00733289" w:rsidRPr="00733289">
        <w:rPr>
          <w:rFonts w:ascii="Calibri" w:hAnsi="Calibri" w:cs="Calibri"/>
        </w:rPr>
        <w:t>(Hein et al., 2013)</w:t>
      </w:r>
      <w:r w:rsidR="00733289">
        <w:fldChar w:fldCharType="end"/>
      </w:r>
      <w:r w:rsidR="00733289">
        <w:t xml:space="preserve">. This potential is, however, contingent on the motivations of participants of a given scheme and their willingness to participate over the long-term </w:t>
      </w:r>
      <w:r w:rsidR="00733289">
        <w:fldChar w:fldCharType="begin"/>
      </w:r>
      <w:r w:rsidR="00733289">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rsidR="00733289">
        <w:fldChar w:fldCharType="separate"/>
      </w:r>
      <w:r w:rsidR="00733289" w:rsidRPr="00733289">
        <w:rPr>
          <w:rFonts w:ascii="Calibri" w:hAnsi="Calibri" w:cs="Calibri"/>
        </w:rPr>
        <w:t>(Fisher, 2012)</w:t>
      </w:r>
      <w:r w:rsidR="00733289">
        <w:fldChar w:fldCharType="end"/>
      </w:r>
      <w:r w:rsidR="00733289">
        <w:t xml:space="preserve">. There are many case studies that demonstrate successful PES projects </w:t>
      </w:r>
      <w:r w:rsidR="00733289">
        <w:fldChar w:fldCharType="begin"/>
      </w:r>
      <w:r w:rsidR="00A8483F">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2013)","dontUpdate":true,"noteIndex":0},"citationItems":[{"id":2854,"uris":["http://zotero.org/users/2170232/items/Y6P4VP5J"],"uri":["http://zotero.org/users/2170232/items/Y6P4VP5J"],"itemData":{"id":2854,"type":"article-journal","abstract":"The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rsidR="00733289">
        <w:fldChar w:fldCharType="separate"/>
      </w:r>
      <w:r w:rsidR="00BC1DD8" w:rsidRPr="00BC1DD8">
        <w:rPr>
          <w:rFonts w:ascii="Calibri" w:hAnsi="Calibri" w:cs="Calibri"/>
        </w:rPr>
        <w:t>(</w:t>
      </w:r>
      <w:r w:rsidR="00BC1DD8">
        <w:rPr>
          <w:rFonts w:ascii="Calibri" w:hAnsi="Calibri" w:cs="Calibri"/>
        </w:rPr>
        <w:t xml:space="preserve">e.g., </w:t>
      </w:r>
      <w:r w:rsidR="00BC1DD8" w:rsidRPr="00BC1DD8">
        <w:rPr>
          <w:rFonts w:ascii="Calibri" w:hAnsi="Calibri" w:cs="Calibri"/>
        </w:rPr>
        <w:t>Clements and Milner-Gulland, 2015; Ingram et al., 2014; Jayachandran et al., 2016; Zheng et al., 2013)</w:t>
      </w:r>
      <w:r w:rsidR="00733289">
        <w:fldChar w:fldCharType="end"/>
      </w:r>
      <w:r w:rsidR="00180B63">
        <w:t>, yet</w:t>
      </w:r>
      <w:r w:rsidR="00AB2E08">
        <w:t xml:space="preserve"> a lack of effective monitoring of PES programmes globally means</w:t>
      </w:r>
      <w:r w:rsidR="00180B63">
        <w:t xml:space="preserve"> </w:t>
      </w:r>
      <w:r w:rsidR="00AB2E08">
        <w:t xml:space="preserve">there is still insufficient evidence that these market-based mechanisms provide a net benefit to nature </w:t>
      </w:r>
      <w:r w:rsidR="00AB2E08">
        <w:fldChar w:fldCharType="begin"/>
      </w:r>
      <w:r w:rsidR="00BC1DD8">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B2E08">
        <w:fldChar w:fldCharType="separate"/>
      </w:r>
      <w:r w:rsidR="00BC1DD8" w:rsidRPr="00BC1DD8">
        <w:rPr>
          <w:rFonts w:ascii="Calibri" w:hAnsi="Calibri" w:cs="Calibri"/>
        </w:rPr>
        <w:t>(Ingram et al., 2014; Salzman et al., 2018)</w:t>
      </w:r>
      <w:r w:rsidR="00AB2E08">
        <w:fldChar w:fldCharType="end"/>
      </w:r>
      <w:r w:rsidR="00AB2E08">
        <w:t xml:space="preserve">. Although likely an important component of the conservation toolbox, </w:t>
      </w:r>
      <w:r w:rsidR="00BC1DD8">
        <w:t>and a potential source of stable, long-term funding for conservation, the development of PES projects should be careful, context-specific, and designed with robust monitoring to ensure</w:t>
      </w:r>
      <w:r w:rsidR="00574A12">
        <w:t xml:space="preserve"> long-term</w:t>
      </w:r>
      <w:r w:rsidR="00BC1DD8">
        <w:t xml:space="preserve"> effectiveness </w:t>
      </w:r>
      <w:r w:rsidR="00BC1DD8">
        <w:fldChar w:fldCharType="begin"/>
      </w:r>
      <w:r w:rsidR="00BC1DD8">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BC1DD8">
        <w:fldChar w:fldCharType="separate"/>
      </w:r>
      <w:r w:rsidR="00BC1DD8" w:rsidRPr="00BC1DD8">
        <w:rPr>
          <w:rFonts w:ascii="Calibri" w:hAnsi="Calibri" w:cs="Calibri"/>
        </w:rPr>
        <w:t>(Hein et al., 2013; Redford and Adams, 2009)</w:t>
      </w:r>
      <w:r w:rsidR="00BC1DD8">
        <w:fldChar w:fldCharType="end"/>
      </w:r>
      <w:r w:rsidR="00BC1DD8">
        <w:t xml:space="preserve">.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2" w:name="__Fieldmark__1181_362668386"/>
      <w:r w:rsidR="0089199E">
        <w:rPr>
          <w:rFonts w:cs="Calibri"/>
        </w:rPr>
        <w:t>(Clark et al., 2018)</w:t>
      </w:r>
      <w:r w:rsidR="0089199E">
        <w:fldChar w:fldCharType="end"/>
      </w:r>
      <w:bookmarkEnd w:id="72"/>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73" w:name="__Fieldmark__1186_362668386"/>
      <w:r w:rsidR="0089199E">
        <w:rPr>
          <w:rFonts w:cs="Calibri"/>
        </w:rPr>
        <w:t>(McFarland, 2018)</w:t>
      </w:r>
      <w:r w:rsidR="0089199E">
        <w:fldChar w:fldCharType="end"/>
      </w:r>
      <w:bookmarkEnd w:id="73"/>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74" w:name="__Fieldmark__1191_362668386"/>
      <w:r w:rsidR="0089199E">
        <w:rPr>
          <w:rFonts w:cs="Calibri"/>
        </w:rPr>
        <w:t>(Torres and Zeidan, 2016)</w:t>
      </w:r>
      <w:r w:rsidR="0089199E">
        <w:fldChar w:fldCharType="end"/>
      </w:r>
      <w:bookmarkEnd w:id="74"/>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5" w:name="__Fieldmark__1196_362668386"/>
      <w:r w:rsidR="0089199E">
        <w:rPr>
          <w:rFonts w:cs="Calibri"/>
        </w:rPr>
        <w:t>(Clark et al., 2018)</w:t>
      </w:r>
      <w:r w:rsidR="0089199E">
        <w:fldChar w:fldCharType="end"/>
      </w:r>
      <w:bookmarkEnd w:id="75"/>
      <w:r w:rsidR="0089199E">
        <w:t>; 3) custom-built partnerships between the private sector and governments, civil society, and non-governmental organisations, for example the Tropical Landscapes Finance Facility (</w:t>
      </w:r>
      <w:hyperlink r:id="rId18">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6" w:name="__Fieldmark__1206_362668386"/>
      <w:r w:rsidR="0089199E">
        <w:rPr>
          <w:rFonts w:cs="Calibri"/>
        </w:rPr>
        <w:t>(Sachs et al., 2019)</w:t>
      </w:r>
      <w:r w:rsidR="0089199E">
        <w:fldChar w:fldCharType="end"/>
      </w:r>
      <w:bookmarkEnd w:id="76"/>
      <w:r w:rsidR="0089199E">
        <w:t xml:space="preserve">, 5) conservation finance, which is a broad term that describes financial solutions </w:t>
      </w:r>
      <w:r w:rsidR="0089199E">
        <w:lastRenderedPageBreak/>
        <w:t xml:space="preserve">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77" w:name="__Fieldmark__1213_362668386"/>
      <w:r w:rsidR="0089199E">
        <w:rPr>
          <w:rFonts w:cs="Calibri"/>
        </w:rPr>
        <w:t>(Huwyler et al., 2016)</w:t>
      </w:r>
      <w:r w:rsidR="0089199E">
        <w:fldChar w:fldCharType="end"/>
      </w:r>
      <w:bookmarkEnd w:id="77"/>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8" w:name="__Fieldmark__1218_362668386"/>
      <w:r w:rsidR="0089199E">
        <w:rPr>
          <w:rFonts w:cs="Calibri"/>
        </w:rPr>
        <w:t>(Sachs et al., 2019)</w:t>
      </w:r>
      <w:r w:rsidR="0089199E">
        <w:fldChar w:fldCharType="end"/>
      </w:r>
      <w:bookmarkEnd w:id="78"/>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9" w:name="__Fieldmark__1223_362668386"/>
      <w:r w:rsidR="0089199E">
        <w:rPr>
          <w:rFonts w:cs="Calibri"/>
        </w:rPr>
        <w:t>(Sachs et al., 2019)</w:t>
      </w:r>
      <w:r w:rsidR="0089199E">
        <w:fldChar w:fldCharType="end"/>
      </w:r>
      <w:bookmarkEnd w:id="79"/>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80" w:name="__Fieldmark__1232_362668386"/>
      <w:r>
        <w:rPr>
          <w:rFonts w:cs="Calibri"/>
        </w:rPr>
        <w:t>(Kaiser, 2015)</w:t>
      </w:r>
      <w:r>
        <w:fldChar w:fldCharType="end"/>
      </w:r>
      <w:bookmarkEnd w:id="80"/>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A22DC42" w14:textId="77777777" w:rsidR="003D7D4E"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4BCCEE77" w14:textId="6DB094B8" w:rsidR="002D4DF5" w:rsidRDefault="002D4DF5"/>
    <w:p w14:paraId="2A464DD5" w14:textId="6624A8F0" w:rsidR="00BF25B7" w:rsidRDefault="00BF25B7"/>
    <w:p w14:paraId="2771E0BF" w14:textId="56C7C5E5" w:rsidR="00BF25B7" w:rsidRDefault="00BF25B7"/>
    <w:p w14:paraId="48FFB91C" w14:textId="156D35A0" w:rsidR="00BF25B7" w:rsidRDefault="00BF25B7"/>
    <w:p w14:paraId="19AEF56C" w14:textId="6809EFD9" w:rsidR="00BF25B7" w:rsidRDefault="00BF25B7"/>
    <w:p w14:paraId="604339D6" w14:textId="0E0EB710" w:rsidR="00BF25B7" w:rsidRDefault="00BF25B7"/>
    <w:p w14:paraId="65919F00" w14:textId="1E8DBA10" w:rsidR="00BF25B7" w:rsidRDefault="00BF25B7"/>
    <w:p w14:paraId="3E27C357" w14:textId="167DBE0B" w:rsidR="00BF25B7" w:rsidRDefault="00BF25B7"/>
    <w:p w14:paraId="70F072E0" w14:textId="5373F522" w:rsidR="00BF25B7" w:rsidRDefault="00BF25B7"/>
    <w:p w14:paraId="228FF9A3" w14:textId="0868A55B" w:rsidR="00BF25B7" w:rsidRDefault="00BF25B7"/>
    <w:p w14:paraId="319C3DF2" w14:textId="520134FF" w:rsidR="00BF25B7" w:rsidRDefault="00BF25B7"/>
    <w:p w14:paraId="135AEA70" w14:textId="21E08F53" w:rsidR="00BF25B7" w:rsidRDefault="00BF25B7"/>
    <w:p w14:paraId="3EE72550" w14:textId="448F56D0" w:rsidR="00BF25B7" w:rsidRDefault="00BF25B7"/>
    <w:p w14:paraId="4A0240DB" w14:textId="537EDC7C" w:rsidR="00BF25B7" w:rsidRDefault="00BF25B7"/>
    <w:p w14:paraId="44DD7376" w14:textId="7EA35DB7" w:rsidR="00BF25B7" w:rsidRDefault="00BF25B7"/>
    <w:p w14:paraId="7FF5993F" w14:textId="0C04F7EE" w:rsidR="00BF25B7" w:rsidRDefault="00BF25B7"/>
    <w:p w14:paraId="35A82A9F" w14:textId="4B221C38" w:rsidR="00BF25B7" w:rsidRDefault="00BF25B7">
      <w:pPr>
        <w:rPr>
          <w:b/>
          <w:bCs/>
        </w:rPr>
      </w:pPr>
      <w:r>
        <w:rPr>
          <w:b/>
          <w:bCs/>
        </w:rPr>
        <w:lastRenderedPageBreak/>
        <w:t xml:space="preserve">References </w:t>
      </w:r>
    </w:p>
    <w:p w14:paraId="232B99FE" w14:textId="77777777" w:rsidR="00A8483F" w:rsidRDefault="00BF25B7" w:rsidP="00A8483F">
      <w:pPr>
        <w:pStyle w:val="Bibliography"/>
      </w:pPr>
      <w:r>
        <w:fldChar w:fldCharType="begin"/>
      </w:r>
      <w:r w:rsidR="00A8483F">
        <w:instrText xml:space="preserve"> ADDIN ZOTERO_BIBL {"uncited":[],"omitted":[],"custom":[]} CSL_BIBLIOGRAPHY </w:instrText>
      </w:r>
      <w:r>
        <w:fldChar w:fldCharType="separate"/>
      </w:r>
      <w:r w:rsidR="00A8483F">
        <w:t>Andrade, G.S.M., Rhodes, J.R., 2012. Protected Areas and Local Communities: an Inevitable Partnership toward Successful Conservation Strategies? Ecol. Soc. 17. https://doi.org/10.5751/ES-05216-170414</w:t>
      </w:r>
    </w:p>
    <w:p w14:paraId="5ABF5BAC" w14:textId="77777777" w:rsidR="00A8483F" w:rsidRDefault="00A8483F" w:rsidP="00A8483F">
      <w:pPr>
        <w:pStyle w:val="Bibliography"/>
      </w:pPr>
      <w:r>
        <w:t>Armsworth, P.R., Jackson, H.B., Cho, S.-H., Clark, M., Fargione, J.E., Iacona, G.D., Kim, T., Larson, E.R., Minney, T., Sutton, N.A., 2018. Is conservation right to go big? Protected area size and conservation return-on-investment. Biol. Conserv. 225, 229–236. https://doi.org/10.1016/j.biocon.2018.07.005</w:t>
      </w:r>
    </w:p>
    <w:p w14:paraId="7A2CAA60" w14:textId="77777777" w:rsidR="00A8483F" w:rsidRDefault="00A8483F" w:rsidP="00A8483F">
      <w:pPr>
        <w:pStyle w:val="Bibliography"/>
      </w:pPr>
      <w:r>
        <w:t>Bang, A., Khadakkar, S., 2020. Opinion: Biodiversity conservation during a global crisis: Consequences and the way forward. Proc. Natl. Acad. Sci. 117, 29995–29999. https://doi.org/10.1073/pnas.2021460117</w:t>
      </w:r>
    </w:p>
    <w:p w14:paraId="1E911D5D" w14:textId="77777777" w:rsidR="00A8483F" w:rsidRDefault="00A8483F" w:rsidP="00A8483F">
      <w:pPr>
        <w:pStyle w:val="Bibliography"/>
      </w:pPr>
      <w:r>
        <w:t>Barnes, M.D., Glew, L., Wyborn, C., Craigie, I.D., 2018. Prevent perverse outcomes from global protected area policy. Nat. Ecol. Evol. 1. https://doi.org/10.1038/s41559-018-0501-y</w:t>
      </w:r>
    </w:p>
    <w:p w14:paraId="40202F42" w14:textId="77777777" w:rsidR="00A8483F" w:rsidRDefault="00A8483F" w:rsidP="00A8483F">
      <w:pPr>
        <w:pStyle w:val="Bibliography"/>
      </w:pPr>
      <w:r>
        <w:t>Berkes, F., Folke, C., Colding, J., 2000. Linking social and ecological systems: management practices and social mechanisms for building resilience. Cambridge University Press.</w:t>
      </w:r>
    </w:p>
    <w:p w14:paraId="2DC1D2D7" w14:textId="77777777" w:rsidR="00A8483F" w:rsidRDefault="00A8483F" w:rsidP="00A8483F">
      <w:pPr>
        <w:pStyle w:val="Bibliography"/>
      </w:pPr>
      <w:r>
        <w:t>Betsill, M.M., Enrici, A., Le Cornu, E., Gruby, R.L., 2021. Philanthropic foundations as agents of environmental governance:a research agenda. Environ. Polit. 0, 1–22. https://doi.org/10.1080/09644016.2021.1955494</w:t>
      </w:r>
    </w:p>
    <w:p w14:paraId="7FC2501A" w14:textId="77777777" w:rsidR="00A8483F" w:rsidRDefault="00A8483F" w:rsidP="00A8483F">
      <w:pPr>
        <w:pStyle w:val="Bibliography"/>
      </w:pPr>
      <w:r>
        <w:t>Bruner, A.G., Gullison, R.E., Balmford, A., 2004. Financial Costs and Shortfalls of Managing and Expanding Protected-Area Systems in Developing Countries. BioScience 54, 1119–1126. https://doi.org/10.1641/0006-3568(2004)054[1119:FCASOM]2.0.CO;2</w:t>
      </w:r>
    </w:p>
    <w:p w14:paraId="5C87F905" w14:textId="77777777" w:rsidR="00A8483F" w:rsidRDefault="00A8483F" w:rsidP="00A8483F">
      <w:pPr>
        <w:pStyle w:val="Bibliography"/>
      </w:pPr>
      <w:r>
        <w:t>Bunnefeld, N., Hoshino, E., Milner-Gulland, E.J., 2011. Management strategy evaluation: a powerful tool for conservation? Trends Ecol. Evol. 26, 441–447. https://doi.org/10.1016/j.tree.2011.05.003</w:t>
      </w:r>
    </w:p>
    <w:p w14:paraId="67690D28" w14:textId="77777777" w:rsidR="00A8483F" w:rsidRDefault="00A8483F" w:rsidP="00A8483F">
      <w:pPr>
        <w:pStyle w:val="Bibliography"/>
      </w:pPr>
      <w:r>
        <w:t>Ceddia, M.G., 2019. The impact of income, land, and wealth inequality on agricultural expansion in Latin America. Proc. Natl. Acad. Sci. 116, 2527–2532. https://doi.org/10.1073/pnas.1814894116</w:t>
      </w:r>
    </w:p>
    <w:p w14:paraId="442A974A" w14:textId="77777777" w:rsidR="00A8483F" w:rsidRDefault="00A8483F" w:rsidP="00A8483F">
      <w:pPr>
        <w:pStyle w:val="Bibliography"/>
      </w:pPr>
      <w:r>
        <w:t>Clark, R., Reed, J., Sunderland, T., 2018. Bridging funding gaps for climate and sustainable development: Pitfalls, progress and potential of private finance. Land Use Policy 71, 335–346. https://doi.org/10.1016/j.landusepol.2017.12.013</w:t>
      </w:r>
    </w:p>
    <w:p w14:paraId="30FAD0F8" w14:textId="77777777" w:rsidR="00A8483F" w:rsidRDefault="00A8483F" w:rsidP="00A8483F">
      <w:pPr>
        <w:pStyle w:val="Bibliography"/>
      </w:pPr>
      <w:r>
        <w:t>Clements, T., Milner-Gulland, E.J., 2015. Impact of payments for environmental services and protected areas on local livelihoods and forest conservation in northern Cambodia. Conserv. Biol. 29, 78–87. https://doi.org/10.1111/cobi.12423</w:t>
      </w:r>
    </w:p>
    <w:p w14:paraId="212F80D4" w14:textId="77777777" w:rsidR="00A8483F" w:rsidRDefault="00A8483F" w:rsidP="00A8483F">
      <w:pPr>
        <w:pStyle w:val="Bibliography"/>
      </w:pPr>
      <w:r>
        <w:t>Coad, L., Watson, J.E., Geldmann, J., Burgess, N.D., Leverington, F., Hockings, M., Knights, K., Marco, M.D., 2019. Widespread shortfalls in protected area resourcing undermine efforts to conserve biodiversity. Front. Ecol. Environ. 17, 259–264. https://doi.org/10.1002/fee.2042</w:t>
      </w:r>
    </w:p>
    <w:p w14:paraId="366E0A7A" w14:textId="77777777" w:rsidR="00A8483F" w:rsidRDefault="00A8483F" w:rsidP="00A8483F">
      <w:pPr>
        <w:pStyle w:val="Bibliography"/>
      </w:pPr>
      <w:r>
        <w:t>Corlett, R.T., Primack, R.B., Devictor, V., Maas, B., Goswami, V.R., Bates, A.E., Koh, L.P., Regan, T.J., Loyola, R., Pakeman, R.J., Cumming, G.S., Pidgeon, A., Johns, D., Roth, R., 2020. Impacts of the coronavirus pandemic on biodiversity conservation. Biol. Conserv. 246, 108571. https://doi.org/10.1016/j.biocon.2020.108571</w:t>
      </w:r>
    </w:p>
    <w:p w14:paraId="3694AC68" w14:textId="77777777" w:rsidR="00A8483F" w:rsidRDefault="00A8483F" w:rsidP="00A8483F">
      <w:pPr>
        <w:pStyle w:val="Bibliography"/>
      </w:pPr>
      <w:r>
        <w:t>Cusack, J., Duthie, A., Minderman, J., Jones, I., Pozo, R., Rakotonarivo, O., Redpath, S., Bunnefeld, N., 2020. Integrating conflict, lobbying, and compliance to predict the sustainability of natural resource use. Ecol. Soc. 25. https://doi.org/10.5751/ES-11552-250213</w:t>
      </w:r>
    </w:p>
    <w:p w14:paraId="00A6F391" w14:textId="77777777" w:rsidR="00A8483F" w:rsidRDefault="00A8483F" w:rsidP="00A8483F">
      <w:pPr>
        <w:pStyle w:val="Bibliography"/>
      </w:pPr>
      <w:r>
        <w:t>Davis, K.F., Yu, K., Rulli, M.C., Pichdara, L., D’Odorico, P., 2015. Accelerated deforestation driven by large-scale land acquisitions in Cambodia. Nat. Geosci. 8, 772–775. https://doi.org/10.1038/ngeo2540</w:t>
      </w:r>
    </w:p>
    <w:p w14:paraId="1FDAB6BA" w14:textId="77777777" w:rsidR="00A8483F" w:rsidRDefault="00A8483F" w:rsidP="00A8483F">
      <w:pPr>
        <w:pStyle w:val="Bibliography"/>
      </w:pPr>
      <w:r>
        <w:t>Deutz, A., Heal, G.M., Niu, R., Swanson, E., Townsend, T., Li, Z., Delmar, A., Meghji, A., Sethi, S.A., Tobin-demla Puente, J., 2020. Financing nature: Closing the global biodiversity financing gap. The Paulson Institute, The Nature Conservancy, the Cornell Atkinson Center for Sustainability.</w:t>
      </w:r>
    </w:p>
    <w:p w14:paraId="24A0C821" w14:textId="77777777" w:rsidR="00A8483F" w:rsidRDefault="00A8483F" w:rsidP="00A8483F">
      <w:pPr>
        <w:pStyle w:val="Bibliography"/>
      </w:pPr>
      <w:r>
        <w:lastRenderedPageBreak/>
        <w:t>Doak, D.F., Mills, L.S., 1994. A Useful Role for Theory in Conservation. Ecology 75, 615–626. https://doi.org/10.2307/1941720</w:t>
      </w:r>
    </w:p>
    <w:p w14:paraId="472A4EB3" w14:textId="77777777" w:rsidR="00A8483F" w:rsidRDefault="00A8483F" w:rsidP="00A8483F">
      <w:pPr>
        <w:pStyle w:val="Bibliography"/>
      </w:pPr>
      <w:r>
        <w:t>Duthie, A.B., Cusack, J.J., Jones, I.L., Minderman, J., Nilsen, E.B., Pozo, R.A., Rakotonarivo, O.S., Moorter, B.V., Bunnefeld, N., 2018a. GMSE: An r package for generalised management strategy evaluation. Methods Ecol. Evol. 9, 2396–2401. https://doi.org/10.1111/2041-210X.13091</w:t>
      </w:r>
    </w:p>
    <w:p w14:paraId="3D1A0DC5" w14:textId="77777777" w:rsidR="00A8483F" w:rsidRDefault="00A8483F" w:rsidP="00A8483F">
      <w:pPr>
        <w:pStyle w:val="Bibliography"/>
      </w:pPr>
      <w:r>
        <w:t>Duthie, A.B., Cusack, J.J., Jones, I.L., Minderman, J., Nilsen, E.B., Pozo, R.A., Rakotonarivo, O.S., Van Moorter, B., Bunnefeld, N., 2018b. Supporting Information 1 from Duthie et al. 2018. The genetic algorithm of GMSE. Methods Ecol. Evol. 9.</w:t>
      </w:r>
    </w:p>
    <w:p w14:paraId="2B8F0D8B" w14:textId="77777777" w:rsidR="00A8483F" w:rsidRDefault="00A8483F" w:rsidP="00A8483F">
      <w:pPr>
        <w:pStyle w:val="Bibliography"/>
      </w:pPr>
      <w:r>
        <w:t>Echols, A., Front, A., Cummins, J., 2019. Broadening conservation funding. Wildl. Soc. Bull. 43, 372–381. https://doi.org/10.1002/wsb.1003</w:t>
      </w:r>
    </w:p>
    <w:p w14:paraId="2A075235" w14:textId="77777777" w:rsidR="00A8483F" w:rsidRDefault="00A8483F" w:rsidP="00A8483F">
      <w:pPr>
        <w:pStyle w:val="Bibliography"/>
      </w:pPr>
      <w:r>
        <w:t>Emerton, L., Bishop, J., Thomas, L., 2006. Sustainable financing of protected areas - A global review of challenges and options, Best Practice Protected Area Guidlines. IUCN, Gland, Switzerland.</w:t>
      </w:r>
    </w:p>
    <w:p w14:paraId="75E98462" w14:textId="77777777" w:rsidR="00A8483F" w:rsidRDefault="00A8483F" w:rsidP="00A8483F">
      <w:pPr>
        <w:pStyle w:val="Bibliography"/>
      </w:pPr>
      <w:r>
        <w:t>Ervin, J., 2003. Rapid Assessment of Protected Area Management Effectiveness in Four Countries. BioScience 53, 833–841. https://doi.org/10.1641/0006-3568(2003)053[0833:RAOPAM]2.0.CO;2</w:t>
      </w:r>
    </w:p>
    <w:p w14:paraId="1A88883C" w14:textId="77777777" w:rsidR="00A8483F" w:rsidRDefault="00A8483F" w:rsidP="00A8483F">
      <w:pPr>
        <w:pStyle w:val="Bibliography"/>
      </w:pPr>
      <w:r>
        <w:t>Evans, K.L., Ewen, J.G., Guillera-Arroita, G., Johnson, J.A., Penteriani, V., Ryan, S.J., Sollmann, R., Gordon, I.J., 2020. Conservation in the maelstrom of Covid-19 – a call to action to solve the challenges, exploit opportunities and prepare for the next pandemic. Anim. Conserv. 23, 235–238. https://doi.org/10.1111/acv.12601</w:t>
      </w:r>
    </w:p>
    <w:p w14:paraId="02DF172E" w14:textId="77777777" w:rsidR="00A8483F" w:rsidRDefault="00A8483F" w:rsidP="00A8483F">
      <w:pPr>
        <w:pStyle w:val="Bibliography"/>
      </w:pPr>
      <w:r>
        <w:t>Fernandes, G.W., Vale, M.M., Overbeck, G.E., Bustamante, M.M.C., Grelle, C.E.V., Bergallo, H.G., Magnusson, W.E., Akama, A., Alves, S.S., Amorim, A., Araújo, J., Barros, C.F., Bravo, F., Carim, M.J.V., Cerqueira, R., Collevatti, R.G., Colli, G.R., da Cunha, C.N., D’Andrea, P.S., Dianese, J.C., Diniz, S., Estrela, P.C., Fernandes, M.R.M., Fontana, C.S., Giacomin, L.L., Gusmão, L.F.P., Juncá, F.A., Lins-e-Silva, A.C.B., Lopes, C.R.A.S., Lorini, M.L., de Queiroz, L.P., Malabarba, L.R., Marimon, B.S., Junior, B.H.M., Marques, M.C.M., Martinelli, B.M., Martins, M.B., de Medeiros, H.F., Menin, M., de Morais, P.B., Muniz, F.H., Neckel-Oliveira, S., de Oliveira, J.A., Oliveira, R.P., Pedroni, F., Penha, J., Podgaiski, L.R., Rodrigues, D.J., Scariot, A., Silveira, L.F., Silveira, M., Tomas, W.M., Vital, M.J.S., Pillar, V.D., 2017. Dismantling Brazil’s science threatens global biodiversity heritage. Perspect. Ecol. Conserv. 15, 239–243. https://doi.org/10.1016/j.pecon.2017.07.004</w:t>
      </w:r>
    </w:p>
    <w:p w14:paraId="4388E7B9" w14:textId="77777777" w:rsidR="00A8483F" w:rsidRDefault="00A8483F" w:rsidP="00A8483F">
      <w:pPr>
        <w:pStyle w:val="Bibliography"/>
      </w:pPr>
      <w:r>
        <w:t>Fishburn, I.S., Boyer, A.G., Kareiva, P., Gaston, K.J., Armsworth, P.R., 2013. Changing spatial patterns of conservation investment by a major land trust. Biol. Conserv. 161, 223–229. https://doi.org/10.1016/j.biocon.2013.02.007</w:t>
      </w:r>
    </w:p>
    <w:p w14:paraId="762E7DE5" w14:textId="77777777" w:rsidR="00A8483F" w:rsidRDefault="00A8483F" w:rsidP="00A8483F">
      <w:pPr>
        <w:pStyle w:val="Bibliography"/>
      </w:pPr>
      <w:r>
        <w:t>Fisher, J., 2012. No pay, no care? A case study exploring motivations for participation in payments for ecosystem services in Uganda. Oryx 46, 45–54. https://doi.org/10.1017/S0030605311001384</w:t>
      </w:r>
    </w:p>
    <w:p w14:paraId="70A0BB4A" w14:textId="77777777" w:rsidR="00A8483F" w:rsidRDefault="00A8483F" w:rsidP="00A8483F">
      <w:pPr>
        <w:pStyle w:val="Bibliography"/>
      </w:pPr>
      <w:r>
        <w:t>Freeling, B.S., Connell, S.D., 2020. Funding Conservation through an Emerging Social Movement. Trends Ecol. Evol. 35, 3–6. https://doi.org/10.1016/j.tree.2019.09.002</w:t>
      </w:r>
    </w:p>
    <w:p w14:paraId="613E04E2" w14:textId="77777777" w:rsidR="00A8483F" w:rsidRDefault="00A8483F" w:rsidP="00A8483F">
      <w:pPr>
        <w:pStyle w:val="Bibliography"/>
      </w:pPr>
      <w:r>
        <w:t>Fryxell, J.M., Packer, C., McCann, K., Solberg, E.J., Sæther, B.-E., 2010. Resource Management Cycles and the Sustainability of Harvested Wildlife Populations. Science 328, 903–906. https://doi.org/10.1126/science.1185802</w:t>
      </w:r>
    </w:p>
    <w:p w14:paraId="234E4DCF" w14:textId="77777777" w:rsidR="00A8483F" w:rsidRDefault="00A8483F" w:rsidP="00A8483F">
      <w:pPr>
        <w:pStyle w:val="Bibliography"/>
      </w:pPr>
      <w:r>
        <w:t>Gill, D.A., Mascia, M.B., Ahmadia, G.N., Glew, L., Lester, S.E., Barnes, M., Craigie, I., Darling, E.S., Free, C.M., Geldmann, J., Holst, S., Jensen, O.P., White, A.T., Basurto, X., Coad, L., Gates, R.D., Guannel, G., Mumby, P.J., Thomas, H., Whitmee, S., Woodley, S., Fox, H.E., 2017. Capacity shortfalls hinder the performance of marine protected areas globally. Nature 543, 665–669. https://doi.org/10.1038/nature21708</w:t>
      </w:r>
    </w:p>
    <w:p w14:paraId="0E0BD3C5" w14:textId="77777777" w:rsidR="00A8483F" w:rsidRDefault="00A8483F" w:rsidP="00A8483F">
      <w:pPr>
        <w:pStyle w:val="Bibliography"/>
      </w:pPr>
      <w:r>
        <w:t>Gollin, D., Probst, L.T., 2015. Food and agriculture: shifting landscapes for policy. Oxf. Rev. Econ. Policy 31, 8–25. https://doi.org/10.1093/oxrep/grv012</w:t>
      </w:r>
    </w:p>
    <w:p w14:paraId="76C7F0AC" w14:textId="77777777" w:rsidR="00A8483F" w:rsidRDefault="00A8483F" w:rsidP="00A8483F">
      <w:pPr>
        <w:pStyle w:val="Bibliography"/>
      </w:pPr>
      <w:r>
        <w:t xml:space="preserve">Green, J.L., Hastings, A., Arzberger, P., Ayala, F.J., Cottingham, K.L., Cuddington, K., Davis, F., Dunne, J.A., Fortin, M.-J., Gerber, L., Neubert, M., 2005. Complexity in Ecology and Conservation: </w:t>
      </w:r>
      <w:r>
        <w:lastRenderedPageBreak/>
        <w:t>Mathematical, Statistical, and Computational Challenges. BioScience 55, 501–510. https://doi.org/10.1641/0006-3568(2005)055[0501:CIEACM]2.0.CO;2</w:t>
      </w:r>
    </w:p>
    <w:p w14:paraId="6F68FAF4" w14:textId="77777777" w:rsidR="00A8483F" w:rsidRDefault="00A8483F" w:rsidP="00A8483F">
      <w:pPr>
        <w:pStyle w:val="Bibliography"/>
      </w:pPr>
      <w:r>
        <w:t>Gruby, R.L., Enrici, A., Betsill, M., Le Cornu, E., Basurto, X., 2021. Opening the black box of conservation philanthropy: A co-produced research agenda on private foundations in marine conservation. Mar. Policy 132, 104645. https://doi.org/10.1016/j.marpol.2021.104645</w:t>
      </w:r>
    </w:p>
    <w:p w14:paraId="2970683D" w14:textId="77777777" w:rsidR="00A8483F" w:rsidRDefault="00A8483F" w:rsidP="00A8483F">
      <w:pPr>
        <w:pStyle w:val="Bibliography"/>
      </w:pPr>
      <w:r>
        <w:t>Hamblin, S., 2013. On the practical usage of genetic algorithms in ecology and evolution. Methods Ecol. Evol. 4, 184–194. https://doi.org/10.1111/2041-210X.12000</w:t>
      </w:r>
    </w:p>
    <w:p w14:paraId="585BC0E7" w14:textId="77777777" w:rsidR="00A8483F" w:rsidRDefault="00A8483F" w:rsidP="00A8483F">
      <w:pPr>
        <w:pStyle w:val="Bibliography"/>
      </w:pPr>
      <w:r>
        <w:t>Hein, L., Miller, D.C., de Groot, R., 2013. Payments for ecosystem services and the financing of global biodiversity conservation. Curr. Opin. Environ. Sustain., Terrestrial systems 5, 87–93. https://doi.org/10.1016/j.cosust.2012.12.004</w:t>
      </w:r>
    </w:p>
    <w:p w14:paraId="53044877" w14:textId="77777777" w:rsidR="00A8483F" w:rsidRDefault="00A8483F" w:rsidP="00A8483F">
      <w:pPr>
        <w:pStyle w:val="Bibliography"/>
      </w:pPr>
      <w:r>
        <w:t>Henschel, P., Coad, L., Burton, C., Chataigner, B., Dunn, A., MacDonald, D., Saidu, Y., Hunter, L.T.B., 2014. The Lion in West Africa Is Critically Endangered. PLOS ONE 9, e83500. https://doi.org/10.1371/journal.pone.0083500</w:t>
      </w:r>
    </w:p>
    <w:p w14:paraId="665CE24F" w14:textId="77777777" w:rsidR="00A8483F" w:rsidRDefault="00A8483F" w:rsidP="00A8483F">
      <w:pPr>
        <w:pStyle w:val="Bibliography"/>
      </w:pPr>
      <w:r>
        <w:t>Hodge, I., Adams, W.M., 2016. Short-Term Projects versus Adaptive Governance: Conflicting Demands in the Management of Ecological Restoration. Land 5, 39. https://doi.org/10.3390/land5040039</w:t>
      </w:r>
    </w:p>
    <w:p w14:paraId="1462CBD1" w14:textId="77777777" w:rsidR="00A8483F" w:rsidRDefault="00A8483F" w:rsidP="00A8483F">
      <w:pPr>
        <w:pStyle w:val="Bibliography"/>
      </w:pPr>
      <w:r>
        <w:t>Huwyler, F., Kappeli, J., Tobin, J., 2016. Conservation finance from niche to mainstream: The building of an institutional asset class. Credit Suisse and McMinsey Center for Business and Environment, Zurich, Switzerland.</w:t>
      </w:r>
    </w:p>
    <w:p w14:paraId="2D31BF9C" w14:textId="77777777" w:rsidR="00A8483F" w:rsidRDefault="00A8483F" w:rsidP="00A8483F">
      <w:pPr>
        <w:pStyle w:val="Bibliography"/>
      </w:pPr>
      <w:r>
        <w:t>Ingram, J.C., Wilkie, D., Clements, T., McNab, R.B., Nelson, F., Baur, E.H., Sachedina, H.T., Peterson, D.D., Foley, C.A.H., 2014. Evidence of Payments for Ecosystem Services as a mechanism for supporting biodiversity conservation and rural livelihoods. Ecosyst. Serv. 7, 10–21. https://doi.org/10.1016/j.ecoser.2013.12.003</w:t>
      </w:r>
    </w:p>
    <w:p w14:paraId="68907D5D" w14:textId="77777777" w:rsidR="00A8483F" w:rsidRDefault="00A8483F" w:rsidP="00A8483F">
      <w:pPr>
        <w:pStyle w:val="Bibliography"/>
      </w:pPr>
      <w:r>
        <w:t>Jayachandran, S., de Laat, J., Lambin, E.F., Stanton, C.Y., 2016. Cash for Carbon: A Randomized Controlled Trial of Payments for Ecosystem Services to Reduce Deforestation (Working Paper No. 22378), Working Paper Series. National Bureau of Economic Research. https://doi.org/10.3386/w22378</w:t>
      </w:r>
    </w:p>
    <w:p w14:paraId="0A2653BF" w14:textId="77777777" w:rsidR="00A8483F" w:rsidRDefault="00A8483F" w:rsidP="00A8483F">
      <w:pPr>
        <w:pStyle w:val="Bibliography"/>
      </w:pPr>
      <w:r>
        <w:t>Kaiser, C., 2015. NatureVest: Natural Capital Investment Solutions to Transform The Way We Protect Nature. Soc. Res. 82, 749–760.</w:t>
      </w:r>
    </w:p>
    <w:p w14:paraId="7B677CA2" w14:textId="77777777" w:rsidR="00A8483F" w:rsidRDefault="00A8483F" w:rsidP="00A8483F">
      <w:pPr>
        <w:pStyle w:val="Bibliography"/>
      </w:pPr>
      <w:r>
        <w:t>Kearney, S.G., Adams, V.M., Fuller, R.A., Possingham, H.P., Watson, J.E.M., 2020. Estimating the benefit of well-managed protected areas for threatened species conservation. Oryx 54, 276–284. https://doi.org/10.1017/S0030605317001739</w:t>
      </w:r>
    </w:p>
    <w:p w14:paraId="4C25402C" w14:textId="77777777" w:rsidR="00A8483F" w:rsidRDefault="00A8483F" w:rsidP="00A8483F">
      <w:pPr>
        <w:pStyle w:val="Bibliography"/>
      </w:pPr>
      <w:r>
        <w:t>Larson, L.R., Peterson, M.N., Furstenberg, R.V., Vayer, V.R., Lee, K.J., Choi, D.Y., Stevenson, K., Ahlers, A.A., Anhalt-Depies, C., Bethke, T., Bruskotter, J.T., Chizinski, C.J., Clark, B., Dayer, A.A., Dunning, K.H., Ghasemi, B., Gigliotti, L., Graefe, A., Irwin, K., Keith, S.J., Kelly, M., Kyle, G., Metcalf, E., Morse, W., Needham, M.D., Poudyal, N.C., Quartuch, M., Rodriguez, S., Romulo, C., Sharp, R.L., Siemer, W., Springer, M.T., Stayton, B., Stedman, R., Stein, T., Deelen, T.R.V., Whiting, J., Winkler, R.L., Woosnam, K.M., 2021. The future of wildlife conservation funding: What options do U.S. college students support? Conserv. Sci. Pract. n/a, e505. https://doi.org/10.1111/csp2.505</w:t>
      </w:r>
    </w:p>
    <w:p w14:paraId="4C1BB26C" w14:textId="77777777" w:rsidR="00A8483F" w:rsidRDefault="00A8483F" w:rsidP="00A8483F">
      <w:pPr>
        <w:pStyle w:val="Bibliography"/>
      </w:pPr>
      <w:r>
        <w:t>Laufer, A.E., Jones, M.D., 2021. Who pays for marine conservation? Processes and narratives that influence marine funding. Ocean Coast. Manag. 203, 105504. https://doi.org/10.1016/j.ocecoaman.2020.105504</w:t>
      </w:r>
    </w:p>
    <w:p w14:paraId="5D98BC4A" w14:textId="77777777" w:rsidR="00A8483F" w:rsidRDefault="00A8483F" w:rsidP="00A8483F">
      <w:pPr>
        <w:pStyle w:val="Bibliography"/>
      </w:pPr>
      <w:r>
        <w:t>Lennox, G.D., Armsworth, P.R., 2011. Suitability of short or long conservation contracts under ecological and socio-economic uncertainty. Ecol. Model. 222, 2856–2866. https://doi.org/10.1016/j.ecolmodel.2011.04.033</w:t>
      </w:r>
    </w:p>
    <w:p w14:paraId="477C41AB" w14:textId="77777777" w:rsidR="00A8483F" w:rsidRDefault="00A8483F" w:rsidP="00A8483F">
      <w:pPr>
        <w:pStyle w:val="Bibliography"/>
      </w:pPr>
      <w:r>
        <w:t>Levins, R., 1966. The strategy of model building in population biology. Am. Sci. 54, 421–431.</w:t>
      </w:r>
    </w:p>
    <w:p w14:paraId="04F00E59" w14:textId="77777777" w:rsidR="00A8483F" w:rsidRDefault="00A8483F" w:rsidP="00A8483F">
      <w:pPr>
        <w:pStyle w:val="Bibliography"/>
      </w:pPr>
      <w:r>
        <w:t>Lindsey, P.A., Nyirenda, V.R., Barnes, J.I., Becker, M.S., McRobb, R., Tambling, C.J., Taylor, W.A., Watson, F.G., t’Sas-Rolfes, M., 2014. Underperformance of African Protected Area Networks and the Case for New Conservation Models: Insights from Zambia. PLOS ONE 9, e94109. https://doi.org/10.1371/journal.pone.0094109</w:t>
      </w:r>
    </w:p>
    <w:p w14:paraId="08631BEA" w14:textId="77777777" w:rsidR="00A8483F" w:rsidRDefault="00A8483F" w:rsidP="00A8483F">
      <w:pPr>
        <w:pStyle w:val="Bibliography"/>
      </w:pPr>
      <w:r>
        <w:lastRenderedPageBreak/>
        <w:t>Lindsey, P.A., Petracca, L.S., Funston, P.J., Bauer, H., Dickman, A., Everatt, K., Flyman, M., Henschel, P., Hinks, A.E., Kasiki, S., Loveridge, A., Macdonald, D.W., Mandisodza, R., Mgoola, W., Miller, S.M., Nazerali, S., Siege, L., Uiseb, K., Hunter, L.T.B., 2017. The performance of African protected areas for lions and their prey. Biol. Conserv. 209, 137–149. https://doi.org/10.1016/j.biocon.2017.01.011</w:t>
      </w:r>
    </w:p>
    <w:p w14:paraId="5D32A098" w14:textId="77777777" w:rsidR="00A8483F" w:rsidRDefault="00A8483F" w:rsidP="00A8483F">
      <w:pPr>
        <w:pStyle w:val="Bibliography"/>
      </w:pPr>
      <w:r>
        <w:t>Lytras, S., Xia, W., Hughes, J., Jiang, X., Robertson, D.L., 2021. The animal origin of SARS-CoV-2. Science 373, 968–970. https://doi.org/10.1126/science.abh0117</w:t>
      </w:r>
    </w:p>
    <w:p w14:paraId="7A47D715" w14:textId="77777777" w:rsidR="00A8483F" w:rsidRDefault="00A8483F" w:rsidP="00A8483F">
      <w:pPr>
        <w:pStyle w:val="Bibliography"/>
      </w:pPr>
      <w:r>
        <w:t>McBride, M.F., Wilson, K.A., Bode, M., Possingham, H.P., 2007. Incorporating the Effects of Socioeconomic Uncertainty into Priority Setting for Conservation Investment. Conserv. Biol. 21, 1463–1474. https://doi.org/10.1111/j.1523-1739.2007.00832.x</w:t>
      </w:r>
    </w:p>
    <w:p w14:paraId="3113481A" w14:textId="77777777" w:rsidR="00A8483F" w:rsidRDefault="00A8483F" w:rsidP="00A8483F">
      <w:pPr>
        <w:pStyle w:val="Bibliography"/>
      </w:pPr>
      <w:r>
        <w:t>McCarthy, D.P., Donald, P.F., Scharlemann, J.P.W., Buchanan, G.M., Balmford, A., Green, J.M.H., Bennun, L.A., Burgess, N.D., Fishpool, L.D.C., Garnett, S.T., Leonard, D.L., Maloney, R.F., Morling, P., Schaefer, H.M., Symes, A., Wiedenfeld, D.A., Butchart, S.H.M., 2012. Financial Costs of Meeting Global Biodiversity Conservation Targets: Current Spending and Unmet Needs. Science 338, 946–949. https://doi.org/10.1126/science.1229803</w:t>
      </w:r>
    </w:p>
    <w:p w14:paraId="4BC1D081" w14:textId="77777777" w:rsidR="00A8483F" w:rsidRDefault="00A8483F" w:rsidP="00A8483F">
      <w:pPr>
        <w:pStyle w:val="Bibliography"/>
      </w:pPr>
      <w:r>
        <w:t>McFarland, B., 2018. The future of tropical forest conservation finance, in: Conservation of Tropical Rainforests, Palgrave Studies in Environmental Policy and Regulation. Palgrave Macmillan, Cham.</w:t>
      </w:r>
    </w:p>
    <w:p w14:paraId="6568D481" w14:textId="77777777" w:rsidR="00A8483F" w:rsidRDefault="00A8483F" w:rsidP="00A8483F">
      <w:pPr>
        <w:pStyle w:val="Bibliography"/>
      </w:pPr>
      <w:r>
        <w:t>Meir, E., Andelman, S., Possingham, H.P., 2004. Does conservation planning matter in a dynamic and uncertain world? Ecol. Lett. 7, 615–622. https://doi.org/10.1111/j.1461-0248.2004.00624.x</w:t>
      </w:r>
    </w:p>
    <w:p w14:paraId="01AD4B6F" w14:textId="77777777" w:rsidR="00A8483F" w:rsidRDefault="00A8483F" w:rsidP="00A8483F">
      <w:pPr>
        <w:pStyle w:val="Bibliography"/>
      </w:pPr>
      <w:r>
        <w:t>Moore, J.F., Mulindahabi, F., Masozera, M.K., Nichols, J.D., Hines, J.E., Turikunkiko, E., Oli, M.K., 2018. Are ranger patrols effective in reducing poaching-related threats within protected areas? J. Appl. Ecol. 55, 99–107. https://doi.org/10.1111/1365-2664.12965</w:t>
      </w:r>
    </w:p>
    <w:p w14:paraId="70338A62" w14:textId="77777777" w:rsidR="00A8483F" w:rsidRDefault="00A8483F" w:rsidP="00A8483F">
      <w:pPr>
        <w:pStyle w:val="Bibliography"/>
      </w:pPr>
      <w:r>
        <w:t>Mouquet, N., Lagadeuc, Y., Devictor, V., Doyen, L., Duputié, A., Eveillard, D., Faure, D., Garnier, E., Gimenez, O., Huneman, P., Jabot, F., Jarne, P., Joly, D., Julliard, R., Kéfi, S., Kergoat, G.J., Lavorel, S., Gall, L.L., Meslin, L., Morand, S., Morin, X., Morlon, H., Pinay, G., Pradel, R., Schurr, F.M., Thuiller, W., Loreau, M., 2015. REVIEW: Predictive ecology in a changing world. J. Appl. Ecol. 52, 1293–1310. https://doi.org/10.1111/1365-2664.12482</w:t>
      </w:r>
    </w:p>
    <w:p w14:paraId="0450C021" w14:textId="77777777" w:rsidR="00A8483F" w:rsidRDefault="00A8483F" w:rsidP="00A8483F">
      <w:pPr>
        <w:pStyle w:val="Bibliography"/>
      </w:pPr>
      <w:r>
        <w:t>Murdoch, W., Ranganathan, J., Polasky, S., Regetz, J., 2010. Using return on investment to maximize conservation effectiveness in Argentine grasslands. Proc. Natl. Acad. Sci. 107, 20855–20862. https://doi.org/10.1073/pnas.1011851107</w:t>
      </w:r>
    </w:p>
    <w:p w14:paraId="28E75309" w14:textId="77777777" w:rsidR="00A8483F" w:rsidRDefault="00A8483F" w:rsidP="00A8483F">
      <w:pPr>
        <w:pStyle w:val="Bibliography"/>
      </w:pPr>
      <w:r>
        <w:t>Nilsson, L., Bunnefeld, N., Minderman, J., Duthie, A.B., 2021. Effects of stakeholder empowerment on crane population and agricultural production. Ecol. Model. 440, 109396. https://doi.org/10.1016/j.ecolmodel.2020.109396</w:t>
      </w:r>
    </w:p>
    <w:p w14:paraId="4D6937B7" w14:textId="77777777" w:rsidR="00A8483F" w:rsidRDefault="00A8483F" w:rsidP="00A8483F">
      <w:pPr>
        <w:pStyle w:val="Bibliography"/>
      </w:pPr>
      <w:r>
        <w:t>Pringle, R.M., 2017. Upgrading protected areas to conserve wild biodiversity. Nature 546, 91–99. https://doi.org/10.1038/nature22902</w:t>
      </w:r>
    </w:p>
    <w:p w14:paraId="588B5134" w14:textId="77777777" w:rsidR="00A8483F" w:rsidRDefault="00A8483F" w:rsidP="00A8483F">
      <w:pPr>
        <w:pStyle w:val="Bibliography"/>
      </w:pPr>
      <w:r>
        <w:t>R Core Team, 2021. R: A language and environment for statistical computing. R Foundation for Statistical Computing, Vienna, Austria.</w:t>
      </w:r>
    </w:p>
    <w:p w14:paraId="73B71D0A" w14:textId="77777777" w:rsidR="00A8483F" w:rsidRDefault="00A8483F" w:rsidP="00A8483F">
      <w:pPr>
        <w:pStyle w:val="Bibliography"/>
      </w:pPr>
      <w:r>
        <w:t>Redford, K.H., Adams, W.M., 2009. Payment for Ecosystem Services and the Challenge of Saving Nature. Conserv. Biol. 23, 785–787. https://doi.org/10.1111/j.1523-1739.2009.01271.x</w:t>
      </w:r>
    </w:p>
    <w:p w14:paraId="52E21114" w14:textId="77777777" w:rsidR="00A8483F" w:rsidRDefault="00A8483F" w:rsidP="00A8483F">
      <w:pPr>
        <w:pStyle w:val="Bibliography"/>
      </w:pPr>
      <w:r>
        <w:t>Rodríguez, J.P., Taber, A.B., Daszak, P., Sukumar, R., Valladares-Padua, C., Padua, S., Aguirre, L.F., Medellín, R.A., Acosta, M., Aguirre, A.A., Bonacic, C., Bordino, P., Bruschini, J., Buchori, D., González, S., Mathew, T., Méndez, M., Mugica, L., Pacheco, L.F., Dobson, A.P., Pearl, M., 2007. Globalization of Conservation: A View from the South. Science 317, 755–756. https://doi.org/10.1126/science.1145560</w:t>
      </w:r>
    </w:p>
    <w:p w14:paraId="45B5FD43" w14:textId="77777777" w:rsidR="00A8483F" w:rsidRDefault="00A8483F" w:rsidP="00A8483F">
      <w:pPr>
        <w:pStyle w:val="Bibliography"/>
      </w:pPr>
      <w:r>
        <w:t>Sachs, J., Woo, W., Yoshino, N., Taghizadeh-Hesary, F., 2019. Importance of green finance for achieving sustainable development goals and energy security, in: Handbook of Green Finance: Energy Security and Sustainable Development, Sustainable Development. Springer, Tokyo.</w:t>
      </w:r>
    </w:p>
    <w:p w14:paraId="71C1DABD" w14:textId="77777777" w:rsidR="00A8483F" w:rsidRDefault="00A8483F" w:rsidP="00A8483F">
      <w:pPr>
        <w:pStyle w:val="Bibliography"/>
      </w:pPr>
      <w:r>
        <w:lastRenderedPageBreak/>
        <w:t>Salzman, J., Bennett, G., Carroll, N., Goldstein, A., Jenkins, M., 2018. The global status and trends of Payments for Ecosystem Services. Nat. Sustain. 1, 136–144. https://doi.org/10.1038/s41893-018-0033-0</w:t>
      </w:r>
    </w:p>
    <w:p w14:paraId="34F177FA" w14:textId="77777777" w:rsidR="00A8483F" w:rsidRDefault="00A8483F" w:rsidP="00A8483F">
      <w:pPr>
        <w:pStyle w:val="Bibliography"/>
      </w:pPr>
      <w:r>
        <w:t>Santana, J., Reino, L., Stoate, C., Borralho, R., Carvalho, C.R., Schindler, S., Moreira, F., Bugalho, M.N., Ribeiro, P.F., Santos, J.L., Vaz, A., Morgado, R., Porto, M., Beja, P., 2014. Mixed Effects of Long-Term Conservation Investment in Natura 2000 Farmland. Conserv. Lett. 7, 467–477. https://doi.org/10.1111/conl.12077</w:t>
      </w:r>
    </w:p>
    <w:p w14:paraId="2E947A47" w14:textId="77777777" w:rsidR="00A8483F" w:rsidRDefault="00A8483F" w:rsidP="00A8483F">
      <w:pPr>
        <w:pStyle w:val="Bibliography"/>
      </w:pPr>
      <w:r>
        <w:t>Sayer, J., Wells, M., 2004. The pathology of projects, in: Getting Biodiversity Projects to Work: Towards More Effective Conservation and Development. Columbia University Press, New York, USA, pp. 35–48.</w:t>
      </w:r>
    </w:p>
    <w:p w14:paraId="1123C213" w14:textId="77777777" w:rsidR="00A8483F" w:rsidRDefault="00A8483F" w:rsidP="00A8483F">
      <w:pPr>
        <w:pStyle w:val="Bibliography"/>
      </w:pPr>
      <w:r>
        <w:t>Sayer, J.A., Margules, C., Boedhihartono, A.K., Sunderland, T., Langston, J.D., Reed, J., Riggs, R., Buck, L.E., Campbell, B.M., Kusters, K., Elliott, C., Minang, P.A., Dale, A., Purnomo, H., Stevenson, J.R., Gunarso, P., Purnomo, A., 2017. Measuring the effectiveness of landscape approaches to conservation and development. Sustain. Sci. 12, 465–476. https://doi.org/10.1007/s11625-016-0415-z</w:t>
      </w:r>
    </w:p>
    <w:p w14:paraId="23D902EF" w14:textId="77777777" w:rsidR="00A8483F" w:rsidRDefault="00A8483F" w:rsidP="00A8483F">
      <w:pPr>
        <w:pStyle w:val="Bibliography"/>
      </w:pPr>
      <w:r>
        <w:t>Sohn, E., 2019. Secrets to writing a winning grant. Nature 577, 133–135. https://doi.org/10.1038/d41586-019-03914-5</w:t>
      </w:r>
    </w:p>
    <w:p w14:paraId="57524EDC" w14:textId="77777777" w:rsidR="00A8483F" w:rsidRDefault="00A8483F" w:rsidP="00A8483F">
      <w:pPr>
        <w:pStyle w:val="Bibliography"/>
      </w:pPr>
      <w:r>
        <w:t>Steinmetz, R., Srirattanaporn, S., Mor-Tip, J., Seuaturien, N., 2014. Can community outreach alleviate poaching pressure and recover wildlife in South-East Asian protected areas? J. Appl. Ecol. 51, 1469–1478. https://doi.org/10.1111/1365-2664.12239</w:t>
      </w:r>
    </w:p>
    <w:p w14:paraId="0BA82511" w14:textId="77777777" w:rsidR="00A8483F" w:rsidRDefault="00A8483F" w:rsidP="00A8483F">
      <w:pPr>
        <w:pStyle w:val="Bibliography"/>
      </w:pPr>
      <w:r>
        <w:t>Torres, E., Zeidan, R., 2016. The life-cycle of national development banks: The experience of Brazil’s BNDES. Q. Rev. Econ. Finance, Special Issue: Is there a Brazilian Development “Model”? 62, 97–104. https://doi.org/10.1016/j.qref.2016.07.006</w:t>
      </w:r>
    </w:p>
    <w:p w14:paraId="4CA2BA2B" w14:textId="77777777" w:rsidR="00A8483F" w:rsidRDefault="00A8483F" w:rsidP="00A8483F">
      <w:pPr>
        <w:pStyle w:val="Bibliography"/>
      </w:pPr>
      <w:r>
        <w:t>Tulloch, V.J.D., Turschwell, M.P., Giffin, A.L., Halpern, B.S., Connolly, R., Griffiths, L., Frazer, M., Brown, C.J., 2020. Linking threat maps with management to guide conservation investment. Biol. Conserv. 245, 108527. https://doi.org/10.1016/j.biocon.2020.108527</w:t>
      </w:r>
    </w:p>
    <w:p w14:paraId="19CCD7EB" w14:textId="77777777" w:rsidR="00A8483F" w:rsidRDefault="00A8483F" w:rsidP="00A8483F">
      <w:pPr>
        <w:pStyle w:val="Bibliography"/>
      </w:pPr>
      <w:r>
        <w:t>Utami, N.W.F., Wirawan, I.G.P., Firn, J., Kepakisan, A.N.K., Kusdyana, I.P.G.A., Nicol, S., Carwardine, J., 2020. Prioritizing management strategies to achieve multiple outcomes in a globally significant Indonesian protected area. Conserv. Sci. Pract. 2, e157. https://doi.org/10.1111/csp2.157</w:t>
      </w:r>
    </w:p>
    <w:p w14:paraId="6284131B" w14:textId="77777777" w:rsidR="00A8483F" w:rsidRDefault="00A8483F" w:rsidP="00A8483F">
      <w:pPr>
        <w:pStyle w:val="Bibliography"/>
      </w:pPr>
      <w:r>
        <w:t>Waithaka, J., Dudley, N., Alvarez, M., Arguedas Mora, S., Chapman, S., Figgis, P., Fitzsimons, J., Gallon, S., Gray, T.N.E., Kim, M., Pasha, M.K.S., Perkin, S., Roig-Boixeda, P., Sierra, C., Valverde, A., Wong, M., 2021. Impacts of COVID-19 on protected and conserved areas: A global overview and regional perspectives. PARKS 27, 41–56.</w:t>
      </w:r>
    </w:p>
    <w:p w14:paraId="7FDDF09C" w14:textId="77777777" w:rsidR="00A8483F" w:rsidRDefault="00A8483F" w:rsidP="00A8483F">
      <w:pPr>
        <w:pStyle w:val="Bibliography"/>
      </w:pPr>
      <w:r>
        <w:t>Waldron, A., Mooers, A.O., Miller, D.C., Nibbelink, N., Redding, D., Kuhn, T.S., Roberts, J.T., Gittleman, J.L., 2013. Targeting global conservation funding to limit immediate biodiversity declines. Proc. Natl. Acad. Sci. 110, 12144–12148. https://doi.org/10.1073/pnas.1221370110</w:t>
      </w:r>
    </w:p>
    <w:p w14:paraId="00648FE8" w14:textId="77777777" w:rsidR="00A8483F" w:rsidRDefault="00A8483F" w:rsidP="00A8483F">
      <w:pPr>
        <w:pStyle w:val="Bibliography"/>
      </w:pPr>
      <w:r>
        <w:t>Wilson, E.O., 1999. Consilience: The Unity of Knowledge. Vintage Books.</w:t>
      </w:r>
    </w:p>
    <w:p w14:paraId="2CF154E1" w14:textId="77777777" w:rsidR="00A8483F" w:rsidRDefault="00A8483F" w:rsidP="00A8483F">
      <w:pPr>
        <w:pStyle w:val="Bibliography"/>
      </w:pPr>
      <w:r>
        <w:t>Wilson, K.A., McBride, M.F., Bode, M., Possingham, H.P., 2006. Prioritizing global conservation efforts. Nature 440, 337–340. https://doi.org/10.1038/nature04366</w:t>
      </w:r>
    </w:p>
    <w:p w14:paraId="41520BEA" w14:textId="77777777" w:rsidR="00A8483F" w:rsidRDefault="00A8483F" w:rsidP="00A8483F">
      <w:pPr>
        <w:pStyle w:val="Bibliography"/>
      </w:pPr>
      <w:r>
        <w:t>Wittemyer, G., 2011. Effects of Economic Downturns on Mortality of Wild African Elephants. Conserv. Biol. 25, 1002–1009. https://doi.org/10.1111/j.1523-1739.2011.01713.x</w:t>
      </w:r>
    </w:p>
    <w:p w14:paraId="039FDF83" w14:textId="77777777" w:rsidR="00A8483F" w:rsidRDefault="00A8483F" w:rsidP="00A8483F">
      <w:pPr>
        <w:pStyle w:val="Bibliography"/>
      </w:pPr>
      <w:r>
        <w:t>Wittemyer, G., Elsen, P., Bean, W.T., Burton, A.C.O., Brashares, J.S., 2008. Accelerated Human Population Growth at Protected Area Edges. Science 321, 123–126. https://doi.org/10.1126/science.1158900</w:t>
      </w:r>
    </w:p>
    <w:p w14:paraId="274E4D5A" w14:textId="77777777" w:rsidR="00A8483F" w:rsidRDefault="00A8483F" w:rsidP="00A8483F">
      <w:pPr>
        <w:pStyle w:val="Bibliography"/>
      </w:pPr>
      <w:r>
        <w:t>Zheng, H., Robinson, B.E., Liang, Y.-C., Polasky, S., Ma, D.-C., Wang, F.-C., Ruckelshaus, M., Ouyang, Z.-Y., Daily, G.C., 2013. Benefits, costs, and livelihood implications of a regional payment for ecosystem service program. Proc. Natl. Acad. Sci. 110, 16681–16686. https://doi.org/10.1073/pnas.1312324110</w:t>
      </w:r>
    </w:p>
    <w:p w14:paraId="76A166E2" w14:textId="79B618DA" w:rsidR="00BF25B7" w:rsidRPr="00BF25B7" w:rsidRDefault="00BF25B7">
      <w:r>
        <w:fldChar w:fldCharType="end"/>
      </w:r>
    </w:p>
    <w:sectPr w:rsidR="00BF25B7" w:rsidRPr="00BF25B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0"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4"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0"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1"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2"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45"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48"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1"/>
      <w:r>
        <w:rPr>
          <w:rFonts w:ascii="Calibri" w:hAnsi="Calibri"/>
          <w:sz w:val="20"/>
        </w:rPr>
        <w:t xml:space="preserve"> </w:t>
      </w:r>
    </w:p>
  </w:comment>
  <w:comment w:id="49" w:author="Matthew Nuttall" w:date="2021-10-11T09:23:00Z" w:initials="MN">
    <w:p w14:paraId="6E7ABB4D" w14:textId="3142ABB1" w:rsidR="006668D0" w:rsidRDefault="006668D0">
      <w:pPr>
        <w:pStyle w:val="CommentText"/>
      </w:pPr>
      <w:r>
        <w:rPr>
          <w:rStyle w:val="CommentReference"/>
        </w:rPr>
        <w:annotationRef/>
      </w:r>
      <w:r>
        <w:t>Equation edited. Is this correct now Brad?</w:t>
      </w:r>
    </w:p>
  </w:comment>
  <w:comment w:id="50"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51" w:author="Matthew Nuttall" w:date="2021-10-08T16:44:00Z" w:initials="MN">
    <w:p w14:paraId="69339FCF" w14:textId="6C7D5AB2" w:rsidR="00D24518" w:rsidRDefault="00D24518">
      <w:pPr>
        <w:pStyle w:val="CommentText"/>
      </w:pPr>
      <w:r>
        <w:rPr>
          <w:rStyle w:val="CommentReference"/>
        </w:rPr>
        <w:annotationRef/>
      </w:r>
      <w:r>
        <w:t>Not all of them had increasing fe</w:t>
      </w:r>
      <w:r w:rsidR="00462612">
        <w:t>l</w:t>
      </w:r>
      <w:r>
        <w:t>ling counts. For example, scenario 2 had a decreasing count of felling actions, and scenario 3 has a fluctuating count of felling actions (see Figure 5)</w:t>
      </w:r>
    </w:p>
  </w:comment>
  <w:comment w:id="52" w:author="Matthew Nuttall" w:date="2021-10-27T14:27:00Z" w:initials="MN">
    <w:p w14:paraId="22378FE1" w14:textId="0080D8EA" w:rsidR="00556291" w:rsidRDefault="00556291">
      <w:pPr>
        <w:pStyle w:val="CommentText"/>
      </w:pPr>
      <w:r>
        <w:rPr>
          <w:rStyle w:val="CommentReference"/>
        </w:rPr>
        <w:annotationRef/>
      </w:r>
      <w:r>
        <w:t>Maybe delete and move key messages up?</w:t>
      </w:r>
    </w:p>
  </w:comment>
  <w:comment w:id="54"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55" w:author="Matthew Nuttall" w:date="2021-10-11T09:49:00Z" w:initials="MN">
    <w:p w14:paraId="200D4505" w14:textId="52399A0E" w:rsidR="00462612" w:rsidRDefault="00462612">
      <w:pPr>
        <w:pStyle w:val="CommentText"/>
      </w:pPr>
      <w:r>
        <w:rPr>
          <w:rStyle w:val="CommentReference"/>
        </w:rPr>
        <w:annotationRef/>
      </w:r>
      <w:r>
        <w:t xml:space="preserve">I assume you’re talking about the general messages from the whole </w:t>
      </w:r>
      <w:proofErr w:type="gramStart"/>
      <w:r>
        <w:t>paragraph?</w:t>
      </w:r>
      <w:proofErr w:type="gramEnd"/>
      <w:r>
        <w:t xml:space="preserve"> If so, then I genuinely can’t find any references that say this. </w:t>
      </w:r>
      <w:r w:rsidR="007853F1">
        <w:t xml:space="preserve">I have found one book chapter (see next comment below) that discusses the negative aspects of the short-term project cycles, and </w:t>
      </w:r>
      <w:r>
        <w:t xml:space="preserve">I have found refs about how decreases in funding are bad (added to the intro), but nothing as explicit as this, where the effect of grant cycles is </w:t>
      </w:r>
      <w:proofErr w:type="gramStart"/>
      <w:r w:rsidR="007853F1">
        <w:t>actually investigated</w:t>
      </w:r>
      <w:proofErr w:type="gramEnd"/>
      <w:r>
        <w:t xml:space="preserve">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56" w:author="Matthew Nuttall" w:date="2021-10-14T10:28:00Z" w:initials="MN">
    <w:p w14:paraId="34C3F580" w14:textId="03591DA5" w:rsidR="00B81406" w:rsidRDefault="00B81406">
      <w:pPr>
        <w:pStyle w:val="CommentText"/>
      </w:pPr>
      <w:r>
        <w:rPr>
          <w:rStyle w:val="CommentReference"/>
        </w:rPr>
        <w:annotationRef/>
      </w:r>
      <w:r>
        <w:t>This is the only reference I have found so far that talks about short-term projects / funding cycles and their effect on conservation programmes. But it is not an empirical study, it is a book chapter</w:t>
      </w:r>
    </w:p>
  </w:comment>
  <w:comment w:id="57" w:author="Matthew Nuttall" w:date="2021-10-08T17:08:00Z" w:initials="MN">
    <w:p w14:paraId="23F465F8" w14:textId="35596D75" w:rsidR="00173C07" w:rsidRDefault="00173C07">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58"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59" w:author="Matthew Nuttall" w:date="2021-10-11T14:51:00Z" w:initials="MN">
    <w:p w14:paraId="6E7D5FC9" w14:textId="02573151" w:rsidR="00622F30" w:rsidRDefault="00622F30">
      <w:pPr>
        <w:pStyle w:val="CommentText"/>
      </w:pPr>
      <w:r>
        <w:rPr>
          <w:rStyle w:val="CommentReference"/>
        </w:rPr>
        <w:annotationRef/>
      </w:r>
      <w:r>
        <w:t>Added a bunch of refs to these two paragraphs. I can’t find a reference for this final sentence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93C1" w15:done="0"/>
  <w15:commentEx w15:paraId="105A5050" w15:paraIdParent="61F493C1" w15:done="0"/>
  <w15:commentEx w15:paraId="3DCC86CB" w15:done="0"/>
  <w15:commentEx w15:paraId="3AF3E295" w15:done="0"/>
  <w15:commentEx w15:paraId="031BE8CD" w15:done="0"/>
  <w15:commentEx w15:paraId="16E68F96" w15:paraIdParent="031BE8CD" w15:done="0"/>
  <w15:commentEx w15:paraId="0F96F45E" w15:done="0"/>
  <w15:commentEx w15:paraId="42B689DE" w15:done="0"/>
  <w15:commentEx w15:paraId="6E7ABB4D" w15:paraIdParent="42B689DE" w15:done="0"/>
  <w15:commentEx w15:paraId="19D629C5" w15:done="0"/>
  <w15:commentEx w15:paraId="69339FCF" w15:paraIdParent="19D629C5" w15:done="0"/>
  <w15:commentEx w15:paraId="22378FE1" w15:done="0"/>
  <w15:commentEx w15:paraId="2A5C23D3" w15:done="0"/>
  <w15:commentEx w15:paraId="200D4505" w15:paraIdParent="2A5C23D3" w15:done="0"/>
  <w15:commentEx w15:paraId="34C3F580" w15:done="0"/>
  <w15:commentEx w15:paraId="23F465F8" w15:done="0"/>
  <w15:commentEx w15:paraId="3CABF189" w15:done="0"/>
  <w15:commentEx w15:paraId="6E7D5FC9" w15:paraIdParent="3CABF1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AAE2E" w16cex:dateUtc="2021-10-08T10:46:00Z"/>
  <w16cex:commentExtensible w16cex:durableId="250AAFFD" w16cex:dateUtc="2021-10-08T10:54:00Z"/>
  <w16cex:commentExtensible w16cex:durableId="24F6D1D4" w16cex:dateUtc="2021-09-23T09:13:00Z"/>
  <w16cex:commentExtensible w16cex:durableId="250AB141" w16cex:dateUtc="2021-10-08T11:00:00Z"/>
  <w16cex:commentExtensible w16cex:durableId="250AD801" w16cex:dateUtc="2021-10-08T13:45:00Z"/>
  <w16cex:commentExtensible w16cex:durableId="250E8115" w16cex:dateUtc="2021-10-11T08:23:00Z"/>
  <w16cex:commentExtensible w16cex:durableId="250AF3D2" w16cex:dateUtc="2021-10-08T15:44:00Z"/>
  <w16cex:commentExtensible w16cex:durableId="2523E039" w16cex:dateUtc="2021-10-27T13:27:00Z"/>
  <w16cex:commentExtensible w16cex:durableId="24F6D79A" w16cex:dateUtc="2021-09-23T09:38:00Z"/>
  <w16cex:commentExtensible w16cex:durableId="250E8742" w16cex:dateUtc="2021-10-11T08:49:00Z"/>
  <w16cex:commentExtensible w16cex:durableId="251284DC" w16cex:dateUtc="2021-10-14T09:28:00Z"/>
  <w16cex:commentExtensible w16cex:durableId="250AF999" w16cex:dateUtc="2021-10-08T16:08:00Z"/>
  <w16cex:commentExtensible w16cex:durableId="24F6D879" w16cex:dateUtc="2021-09-23T09:42:00Z"/>
  <w16cex:commentExtensible w16cex:durableId="250ECDDD" w16cex:dateUtc="2021-10-11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93C1" w16cid:durableId="24F6D0D6"/>
  <w16cid:commentId w16cid:paraId="105A5050" w16cid:durableId="24FEFBF2"/>
  <w16cid:commentId w16cid:paraId="3DCC86CB" w16cid:durableId="250AAE2E"/>
  <w16cid:commentId w16cid:paraId="3AF3E295" w16cid:durableId="250AAFFD"/>
  <w16cid:commentId w16cid:paraId="031BE8CD" w16cid:durableId="24F6D1D4"/>
  <w16cid:commentId w16cid:paraId="16E68F96" w16cid:durableId="250AB141"/>
  <w16cid:commentId w16cid:paraId="0F96F45E" w16cid:durableId="250AD801"/>
  <w16cid:commentId w16cid:paraId="42B689DE" w16cid:durableId="24F6D030"/>
  <w16cid:commentId w16cid:paraId="6E7ABB4D" w16cid:durableId="250E8115"/>
  <w16cid:commentId w16cid:paraId="19D629C5" w16cid:durableId="24F6D033"/>
  <w16cid:commentId w16cid:paraId="69339FCF" w16cid:durableId="250AF3D2"/>
  <w16cid:commentId w16cid:paraId="22378FE1" w16cid:durableId="2523E039"/>
  <w16cid:commentId w16cid:paraId="2A5C23D3" w16cid:durableId="24F6D79A"/>
  <w16cid:commentId w16cid:paraId="200D4505" w16cid:durableId="250E8742"/>
  <w16cid:commentId w16cid:paraId="34C3F580" w16cid:durableId="251284DC"/>
  <w16cid:commentId w16cid:paraId="23F465F8" w16cid:durableId="250AF999"/>
  <w16cid:commentId w16cid:paraId="3CABF189" w16cid:durableId="24F6D879"/>
  <w16cid:commentId w16cid:paraId="6E7D5FC9" w16cid:durableId="250EC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CCE7" w14:textId="77777777" w:rsidR="004C4F1C" w:rsidRDefault="004C4F1C" w:rsidP="00BF25B7">
      <w:pPr>
        <w:spacing w:after="0" w:line="240" w:lineRule="auto"/>
      </w:pPr>
      <w:r>
        <w:separator/>
      </w:r>
    </w:p>
  </w:endnote>
  <w:endnote w:type="continuationSeparator" w:id="0">
    <w:p w14:paraId="5EC7CEC5" w14:textId="77777777" w:rsidR="004C4F1C" w:rsidRDefault="004C4F1C"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205A" w14:textId="77777777" w:rsidR="004C4F1C" w:rsidRDefault="004C4F1C" w:rsidP="00BF25B7">
      <w:pPr>
        <w:spacing w:after="0" w:line="240" w:lineRule="auto"/>
      </w:pPr>
      <w:r>
        <w:separator/>
      </w:r>
    </w:p>
  </w:footnote>
  <w:footnote w:type="continuationSeparator" w:id="0">
    <w:p w14:paraId="21B3E4F7" w14:textId="77777777" w:rsidR="004C4F1C" w:rsidRDefault="004C4F1C" w:rsidP="00BF25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173C07"/>
    <w:rsid w:val="00177F53"/>
    <w:rsid w:val="00180B63"/>
    <w:rsid w:val="001E1E50"/>
    <w:rsid w:val="00223B57"/>
    <w:rsid w:val="00283739"/>
    <w:rsid w:val="002C7AE9"/>
    <w:rsid w:val="002D43DE"/>
    <w:rsid w:val="002D4DF5"/>
    <w:rsid w:val="00321A08"/>
    <w:rsid w:val="003517F0"/>
    <w:rsid w:val="00380D43"/>
    <w:rsid w:val="003838B1"/>
    <w:rsid w:val="003A0878"/>
    <w:rsid w:val="003D7D4E"/>
    <w:rsid w:val="003E28EC"/>
    <w:rsid w:val="003E5FF9"/>
    <w:rsid w:val="003F20B0"/>
    <w:rsid w:val="00407D32"/>
    <w:rsid w:val="00421EF3"/>
    <w:rsid w:val="00444C49"/>
    <w:rsid w:val="00462612"/>
    <w:rsid w:val="004C4F1C"/>
    <w:rsid w:val="004F2133"/>
    <w:rsid w:val="00505C1D"/>
    <w:rsid w:val="0051217D"/>
    <w:rsid w:val="00556291"/>
    <w:rsid w:val="00574A12"/>
    <w:rsid w:val="005C0C38"/>
    <w:rsid w:val="005E13B1"/>
    <w:rsid w:val="0061051A"/>
    <w:rsid w:val="00622F30"/>
    <w:rsid w:val="00624780"/>
    <w:rsid w:val="00637A02"/>
    <w:rsid w:val="00640B53"/>
    <w:rsid w:val="006668D0"/>
    <w:rsid w:val="00681279"/>
    <w:rsid w:val="00686BC6"/>
    <w:rsid w:val="006B1B53"/>
    <w:rsid w:val="006C7A36"/>
    <w:rsid w:val="006F0A98"/>
    <w:rsid w:val="00721CB0"/>
    <w:rsid w:val="00731AF4"/>
    <w:rsid w:val="00733289"/>
    <w:rsid w:val="00775391"/>
    <w:rsid w:val="007853F1"/>
    <w:rsid w:val="007A23C1"/>
    <w:rsid w:val="007A33A1"/>
    <w:rsid w:val="00803620"/>
    <w:rsid w:val="00873FEF"/>
    <w:rsid w:val="0089199E"/>
    <w:rsid w:val="00892B3A"/>
    <w:rsid w:val="008A7BC9"/>
    <w:rsid w:val="008D6134"/>
    <w:rsid w:val="00924ECB"/>
    <w:rsid w:val="00A262C6"/>
    <w:rsid w:val="00A30475"/>
    <w:rsid w:val="00A34FC3"/>
    <w:rsid w:val="00A457CE"/>
    <w:rsid w:val="00A74284"/>
    <w:rsid w:val="00A83A57"/>
    <w:rsid w:val="00A8483F"/>
    <w:rsid w:val="00AA1760"/>
    <w:rsid w:val="00AB2E08"/>
    <w:rsid w:val="00B34B5D"/>
    <w:rsid w:val="00B81406"/>
    <w:rsid w:val="00B82ABF"/>
    <w:rsid w:val="00B8415A"/>
    <w:rsid w:val="00B908F7"/>
    <w:rsid w:val="00BA608A"/>
    <w:rsid w:val="00BB6084"/>
    <w:rsid w:val="00BC1DD8"/>
    <w:rsid w:val="00BC3488"/>
    <w:rsid w:val="00BF25B7"/>
    <w:rsid w:val="00C2025A"/>
    <w:rsid w:val="00C54BED"/>
    <w:rsid w:val="00CD4484"/>
    <w:rsid w:val="00D24518"/>
    <w:rsid w:val="00D50C48"/>
    <w:rsid w:val="00D6058D"/>
    <w:rsid w:val="00D84DC6"/>
    <w:rsid w:val="00DD29EF"/>
    <w:rsid w:val="00EB5F70"/>
    <w:rsid w:val="00F71372"/>
    <w:rsid w:val="00F73D32"/>
    <w:rsid w:val="00FA4C5B"/>
    <w:rsid w:val="00FB3821"/>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cklatex.co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www.tlffindonesia.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ww.thegef.org/" TargetMode="External"/><Relationship Id="rId2" Type="http://schemas.openxmlformats.org/officeDocument/2006/relationships/settings" Target="settings.xml"/><Relationship Id="rId16" Type="http://schemas.openxmlformats.org/officeDocument/2006/relationships/hyperlink" Target="http://www.biocarbonfund-isfl.org/"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27</Pages>
  <Words>49581</Words>
  <Characters>282618</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16</cp:revision>
  <dcterms:created xsi:type="dcterms:W3CDTF">2021-09-27T10:38:00Z</dcterms:created>
  <dcterms:modified xsi:type="dcterms:W3CDTF">2021-10-28T09:46:00Z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id="VjFbWxoo"/&gt;&lt;style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