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1C010" w14:textId="109A25B5" w:rsidR="002D4DF5" w:rsidRDefault="0089199E">
      <w:pPr>
        <w:rPr>
          <w:b/>
          <w:bCs/>
          <w:sz w:val="28"/>
          <w:szCs w:val="28"/>
        </w:rPr>
      </w:pPr>
      <w:r>
        <w:rPr>
          <w:b/>
          <w:bCs/>
          <w:sz w:val="28"/>
          <w:szCs w:val="28"/>
        </w:rPr>
        <w:t xml:space="preserve">Chapter </w:t>
      </w:r>
      <w:r w:rsidR="00E537F0">
        <w:rPr>
          <w:b/>
          <w:bCs/>
          <w:sz w:val="28"/>
          <w:szCs w:val="28"/>
        </w:rPr>
        <w:t>5</w:t>
      </w:r>
    </w:p>
    <w:p w14:paraId="09760108" w14:textId="7E1A09AA" w:rsidR="00E537F0" w:rsidRDefault="00E537F0">
      <w:pPr>
        <w:rPr>
          <w:b/>
          <w:bCs/>
        </w:rPr>
      </w:pPr>
      <w:r>
        <w:rPr>
          <w:b/>
          <w:bCs/>
        </w:rPr>
        <w:t>5.1. ABSTRACT</w:t>
      </w:r>
    </w:p>
    <w:p w14:paraId="0335459F" w14:textId="408B5E1D" w:rsidR="002D4DF5" w:rsidRDefault="00E537F0">
      <w:r>
        <w:rPr>
          <w:b/>
          <w:bCs/>
        </w:rPr>
        <w:t xml:space="preserve">5.2. </w:t>
      </w:r>
      <w:r w:rsidR="0089199E">
        <w:rPr>
          <w:b/>
          <w:bCs/>
        </w:rPr>
        <w:t>I</w:t>
      </w:r>
      <w:r>
        <w:rPr>
          <w:b/>
          <w:bCs/>
        </w:rPr>
        <w:t>NTRODUCTION</w:t>
      </w:r>
    </w:p>
    <w:p w14:paraId="2DBC8462" w14:textId="00EBA506" w:rsidR="002D4DF5" w:rsidRDefault="0089199E">
      <w:r>
        <w:t xml:space="preserve">Global conservation funding is inadequate to eliminate biodiversity loss </w:t>
      </w:r>
      <w:r>
        <w:fldChar w:fldCharType="begin"/>
      </w:r>
      <w:r w:rsidR="00112E40">
        <w:instrText xml:space="preserve"> ADDIN ZOTERO_ITEM CSL_CITATION {"citationID":"9Deh9ZKl","properties":{"formattedCitation":"(Echols et al., 2019; Waldron et al., 2013)","plainCitation":"(Echols et al., 2019; Waldron et al., 2013)","noteIndex":0},"citationItems":[{"id":2785,"uris":["http://zotero.org/users/2170232/items/LTGDFZ3Q"],"uri":["http://zotero.org/users/2170232/items/LTGDFZ3Q"],"itemData":{"id":2785,"type":"article-journal","abstract":"Funding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L."}],"issued":{"date-parts":[["2013"]]}}}],"schema":"https://github.com/citation-style-language/schema/raw/master/csl-citation.json"} </w:instrText>
      </w:r>
      <w:r>
        <w:fldChar w:fldCharType="separate"/>
      </w:r>
      <w:bookmarkStart w:id="0" w:name="__Fieldmark__10_362668386"/>
      <w:r>
        <w:rPr>
          <w:rFonts w:cs="Calibri"/>
        </w:rPr>
        <w:t>(Echols et al., 2019; Waldron et al., 2013)</w:t>
      </w:r>
      <w:r>
        <w:fldChar w:fldCharType="end"/>
      </w:r>
      <w:bookmarkEnd w:id="0"/>
      <w:r>
        <w:t>. Currently, the majority of conservation funding around the world comes from either government</w:t>
      </w:r>
      <w:r w:rsidR="00162586">
        <w:t>al, intergovernmental,</w:t>
      </w:r>
      <w:r>
        <w:t xml:space="preserve"> or philanthropic entities, where funds are distributed via grants </w:t>
      </w:r>
      <w:r>
        <w:fldChar w:fldCharType="begin"/>
      </w:r>
      <w:r w:rsidR="008A7BC9">
        <w:instrText xml:space="preserve"> ADDIN ZOTERO_ITEM CSL_CITATION {"citationID":"5lZYRiDx","properties":{"formattedCitation":"(Huwyler et al., 2016; Larson et al., 2021; Sayer and Wells, 2004)","plainCitation":"(Huwyler et al., 2016; Larson et al., 2021; Sayer and Wells, 2004)","noteIndex":0},"citationItems":[{"id":2811,"uris":["http://zotero.org/users/2170232/items/EQY45584"],"uri":["http://zotero.org/users/2170232/items/EQY45584"],"itemData":{"id":2811,"type":"report","event-place":"Zurich,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id":2787,"uris":["http://zotero.org/users/2170232/items/J8AGA4RR"],"uri":["http://zotero.org/users/2170232/items/J8AGA4RR"],"itemData":{"id":2787,"type":"article-journal","abstract":"Insufficient funding is a major impediment to conservation efforts around the world. In the United States, a decline in hunting participation threatens sustainability of the “user-pay, public benefit” model that has supported wildlife conservation for nearly 100 years, forcing wildlife management agencies to contemplate alternative funding strategies. We investigated support for potential funding options among diverse college students, a rapidly expanding and politically active voting bloc with a potentially powerful influence on the future of conservation. From 2018 to 2020, we surveyed 17,203 undergraduate students at public universities across 22 states. Students preferred innovative approaches to conservation funding, with 72% supporting funding derived from industry sources (e.g., natural resource extraction companies), 63% supporting state sources (e.g., general sales tax), and 43% supporting conventional user-based sources such as license fees and excise taxes associated with outdoor recreation activities (e.g., hunting). Findings emphasize the need to broaden the base of support for conservation funding and highlight the importance of considering the preferences and perspectives of young adults and other diverse beneficiaries of wildlife conservation.","container-title":"Conservation Science and Practice","DOI":"10.1111/csp2.505","ISSN":"2578-4854","issue":"n/a","language":"en","note":"_eprint: https://conbio.onlinelibrary.wiley.com/doi/pdf/10.1111/csp2.505","page":"e505","source":"Wiley Online Library","title":"The future of wildlife conservation funding: What options do U.S. college students support?","title-short":"The future of wildlife conservation funding","volume":"n/a","author":[{"family":"Larson","given":"Lincoln R."},{"family":"Peterson","given":"Markus Nils"},{"family":"Furstenberg","given":"Richard Von"},{"family":"Vayer","given":"Victoria R."},{"family":"Lee","given":"Kangjae Jerry"},{"family":"Choi","given":"Daniel Y."},{"family":"Stevenson","given":"Kathryn"},{"family":"Ahlers","given":"Adam A."},{"family":"Anhalt-Depies","given":"Christine"},{"family":"Bethke","given":"Taniya"},{"family":"Bruskotter","given":"Jeremy T."},{"family":"Chizinski","given":"Christopher J."},{"family":"Clark","given":"Brian"},{"family":"Dayer","given":"Ashley A."},{"family":"Dunning","given":"Kelly Heber"},{"family":"Ghasemi","given":"Benjamin"},{"family":"Gigliotti","given":"Larry"},{"family":"Graefe","given":"Alan"},{"family":"Irwin","given":"Kris"},{"family":"Keith","given":"Samuel J."},{"family":"Kelly","given":"Matt"},{"family":"Kyle","given":"Gerard"},{"family":"Metcalf","given":"Elizabeth"},{"family":"Morse","given":"Wayde"},{"family":"Needham","given":"Mark D."},{"family":"Poudyal","given":"Neelam C."},{"family":"Quartuch","given":"Michael"},{"family":"Rodriguez","given":"Shari"},{"family":"Romulo","given":"Chelsie"},{"family":"Sharp","given":"Ryan L."},{"family":"Siemer","given":"William"},{"family":"Springer","given":"Matthew T."},{"family":"Stayton","given":"Brett"},{"family":"Stedman","given":"Richard"},{"family":"Stein","given":"Taylor"},{"family":"Deelen","given":"Timothy R. Van"},{"family":"Whiting","given":"Jason"},{"family":"Winkler","given":"Richelle L."},{"family":"Woosnam","given":"Kyle Maurice"}],"issued":{"date-parts":[["2021"]]}}},{"id":2880,"uris":["http://zotero.org/users/2170232/items/ZUBKS2W7"],"uri":["http://zotero.org/users/2170232/items/ZUBKS2W7"],"itemData":{"id":2880,"type":"chapter","container-title":"Getting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projects","author":[{"family":"Sayer","given":"J"},{"family":"Wells","given":"MP"}],"issued":{"date-parts":[["2004"]]}}}],"schema":"https://github.com/citation-style-language/schema/raw/master/csl-citation.json"} </w:instrText>
      </w:r>
      <w:r>
        <w:fldChar w:fldCharType="separate"/>
      </w:r>
      <w:bookmarkStart w:id="1" w:name="__Fieldmark__29_362668386"/>
      <w:r w:rsidR="008A7BC9" w:rsidRPr="008A7BC9">
        <w:rPr>
          <w:rFonts w:ascii="Calibri" w:hAnsi="Calibri" w:cs="Calibri"/>
        </w:rPr>
        <w:t>(Huwyler et al., 2016; Larson et al., 2021; Sayer and Wells, 2004)</w:t>
      </w:r>
      <w:r>
        <w:fldChar w:fldCharType="end"/>
      </w:r>
      <w:bookmarkEnd w:id="1"/>
      <w:r>
        <w:t xml:space="preserve">. In response to the global climate and ecological crises, novel approaches to funding environmental projects (including projects related to climate change, biodiversity, and sustainable development) have emerged. These new mechanisms are largely focussed on leveraging private sector investment via conservation finance </w:t>
      </w:r>
      <w:r>
        <w:fldChar w:fldCharType="begin"/>
      </w:r>
      <w:r>
        <w:instrText>ADDIN ZOTERO_ITEM CSL_CITATION {"citationID":"SQAvUxBe","properties":{"formattedCitation":"(Huwyler et al., 2016)","plainCitation":"(Huwyler et al., 2016)","noteIndex":0},"citationItems":[{"id":2811,"uris":["http://zotero.org/users/2170232/items/EQY45584"],"uri":["http://zotero.org/users/2170232/items/EQY45584"],"itemData":{"id":2811,"type":"report","event-place":"Zurich,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schema":"https://github.com/citation-style-language/schema/raw/master/csl-citation.json"}</w:instrText>
      </w:r>
      <w:r>
        <w:fldChar w:fldCharType="separate"/>
      </w:r>
      <w:bookmarkStart w:id="2" w:name="__Fieldmark__36_362668386"/>
      <w:r>
        <w:rPr>
          <w:rFonts w:cs="Calibri"/>
        </w:rPr>
        <w:t>(Huwyler et al., 2016)</w:t>
      </w:r>
      <w:r>
        <w:fldChar w:fldCharType="end"/>
      </w:r>
      <w:bookmarkEnd w:id="2"/>
      <w:r>
        <w:t xml:space="preserve">, green bonds, public-private partnerships, impact investing, and government-led incentives for private sector investment such as new policy, subsidies, loans, and risk mitigation mechanisms </w:t>
      </w:r>
      <w:r>
        <w:fldChar w:fldCharType="begin"/>
      </w:r>
      <w:r>
        <w:instrText>ADDIN ZOTERO_ITEM CSL_CITATION {"citationID":"Sc5Ig2C0","properties":{"formattedCitation":"(Clark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3" w:name="__Fieldmark__50_362668386"/>
      <w:r>
        <w:rPr>
          <w:rFonts w:cs="Calibri"/>
        </w:rPr>
        <w:t>(Clark et al., 2018)</w:t>
      </w:r>
      <w:r>
        <w:fldChar w:fldCharType="end"/>
      </w:r>
      <w:bookmarkEnd w:id="3"/>
      <w:r>
        <w:t xml:space="preserve">. It is </w:t>
      </w:r>
      <w:r w:rsidR="00162586">
        <w:t>expected</w:t>
      </w:r>
      <w:r>
        <w:t xml:space="preserve"> that these new approaches will affect both the quantity of funding available and the distribution mechanisms, moving away from short-term grants towards longer-term, sustainable financing </w:t>
      </w:r>
      <w:r>
        <w:fldChar w:fldCharType="begin"/>
      </w:r>
      <w:r>
        <w:instrText>ADDIN ZOTERO_ITEM CSL_CITATION {"citationID":"puCz8TNO","properties":{"formattedCitation":"(Echols et al., 2019)","plainCitation":"(Echols et al., 2019)","noteIndex":0},"citationItems":[{"id":2785,"uris":["http://zotero.org/users/2170232/items/LTGDFZ3Q"],"uri":["http://zotero.org/users/2170232/items/LTGDFZ3Q"],"itemData":{"id":2785,"type":"article-journal","abstract":"Funding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funding","volume":"43","author":[{"family":"Echols","given":"Alex"},{"family":"Front","given":"Alan"},{"family":"Cummins","given":"James"}],"issued":{"date-parts":[["2019"]]}}}],"schema":"https://github.com/citation-style-language/schema/raw/master/csl-citation.json"}</w:instrText>
      </w:r>
      <w:r>
        <w:fldChar w:fldCharType="separate"/>
      </w:r>
      <w:bookmarkStart w:id="4" w:name="__Fieldmark__59_362668386"/>
      <w:r>
        <w:rPr>
          <w:rFonts w:cs="Calibri"/>
        </w:rPr>
        <w:t>(Echols et al., 2019)</w:t>
      </w:r>
      <w:r>
        <w:fldChar w:fldCharType="end"/>
      </w:r>
      <w:bookmarkEnd w:id="4"/>
      <w:r>
        <w:t xml:space="preserve">. Although the development of alternative financing models for the environment is both necessary and promising, they are being developed within a global economy in which government policies, business models, and free-market capitalism still incentivise the environmental degradation the models are attempting to reduce </w:t>
      </w:r>
      <w:r>
        <w:fldChar w:fldCharType="begin"/>
      </w:r>
      <w:r>
        <w:instrText>ADDIN ZOTERO_ITEM CSL_CITATION {"citationID":"tTaY1V4K","properties":{"formattedCitation":"(Clark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5" w:name="__Fieldmark__68_362668386"/>
      <w:r>
        <w:rPr>
          <w:rFonts w:cs="Calibri"/>
        </w:rPr>
        <w:t>(Clark et al., 2018)</w:t>
      </w:r>
      <w:r>
        <w:fldChar w:fldCharType="end"/>
      </w:r>
      <w:bookmarkEnd w:id="5"/>
      <w:r>
        <w:t xml:space="preserve">. It is therefore likely that in the short- to medium-term, conservation practitioners will remain largely reliant on traditional grant-based funding to implement conservation activities. </w:t>
      </w:r>
    </w:p>
    <w:p w14:paraId="200EED88" w14:textId="6E28C81A" w:rsidR="008A13E3" w:rsidRPr="008A13E3" w:rsidRDefault="00E537F0">
      <w:pPr>
        <w:rPr>
          <w:b/>
          <w:bCs/>
          <w:i/>
          <w:iCs/>
        </w:rPr>
      </w:pPr>
      <w:r>
        <w:rPr>
          <w:b/>
          <w:bCs/>
          <w:i/>
          <w:iCs/>
        </w:rPr>
        <w:t xml:space="preserve">5.2.1. </w:t>
      </w:r>
      <w:r w:rsidR="008A13E3">
        <w:rPr>
          <w:b/>
          <w:bCs/>
          <w:i/>
          <w:iCs/>
        </w:rPr>
        <w:t>Grant-based conservation funding</w:t>
      </w:r>
    </w:p>
    <w:p w14:paraId="39AA0261" w14:textId="64CCC380" w:rsidR="008A13E3" w:rsidRDefault="00E15699">
      <w:r>
        <w:t>To see positive environmental gains, c</w:t>
      </w:r>
      <w:r w:rsidR="004229EB">
        <w:t>onservation action is often required over</w:t>
      </w:r>
      <w:r w:rsidR="003D108F">
        <w:t xml:space="preserve"> decades</w:t>
      </w:r>
      <w:r w:rsidR="003D108F" w:rsidRPr="003D108F">
        <w:t xml:space="preserve"> </w:t>
      </w:r>
      <w:r w:rsidR="003D108F">
        <w:fldChar w:fldCharType="begin"/>
      </w:r>
      <w:r w:rsidR="003D108F">
        <w:instrText xml:space="preserve"> ADDIN ZOTERO_ITEM CSL_CITATION {"citationID":"I1tEUW0v","properties":{"formattedCitation":"(Isaac et al., 2018; Santana et al., 2014)","plainCitation":"(Isaac et al., 2018; Santana et al., 2014)","noteIndex":0},"citationItems":[{"id":3170,"uris":["http://zotero.org/users/2170232/items/GK3Q5F9N"],"uri":["http://zotero.org/users/2170232/items/GK3Q5F9N"],"itemData":{"id":3170,"type":"article-journal","abstract":"Planning for nature conservation has increasingly emphasised the concepts of resilience and spatial networks. Although the importance of habitat networks for individual species is clear, their significance for long-term ecological resilience and multi-species conservation strategies is less established. Referencing spatial network theory, we describe the conceptual basis for defining and assessing a network of wildlife areas that supports species’ resilience to multiple forms of perturbations and pressures. We explore actions that could enhance network resilience at a range of scales, based on ecological principles, with reference to four well-established strategies for intervention in a spatial network (“Better, Bigger, More and Joined”) from the influential Making Space for Nature report by Lawton et al. (). Building existing theory into useable and scalable approaches applicable to large numbers of species is challenging but tractable. We illustrate the policy context, describe the elements of a long-term adaptive management plan and provide example actions, metrics and targets for early implementation using England as a case study, where there is an opportunity to include large-scale ecological planning in a newly launched 25-year environment plan. Policy implications. The concept of resilient ecological networks has attracted scientific and political support, but there is no consensus on what a resilient network would look like, or how to assess it. Therefore, it is unclear whether existing targets for action will be sufficient to achieve network resilience. We show that the scientific principles to place resilience and network theory at the heart of large-scale and long-term environmental planning are established and ready to implement in practice. Delivering a resilient network to support nature recovery is achievable and can be integrated with ongoing conservation actions and targets, by assessing their effectiveness on properties of the entire network. England's 25 Year Environment Plan promises to deliver a natural environment that is protected and enhanced for the future and so provides the ideal testbed.","container-title":"Journal of Applied Ecology","DOI":"10.1111/1365-2664.13196","ISSN":"1365-2664","issue":"6","language":"en","note":"_eprint: https://onlinelibrary.wiley.com/doi/pdf/10.1111/1365-2664.13196","page":"2537-2543","source":"Wiley Online Library","title":"Defining and delivering resilient ecological networks: Nature conservation in England","title-short":"Defining and delivering resilient ecological networks","volume":"55","author":[{"family":"Isaac","given":"Nick J. B."},{"family":"Brotherton","given":"Peter N. M."},{"family":"Bullock","given":"James M."},{"family":"Gregory","given":"Richard D."},{"family":"Boehning-Gaese","given":"Katrin"},{"family":"Connor","given":"Ben"},{"family":"Crick","given":"Humphrey Q. P."},{"family":"Freckleton","given":"Robert P."},{"family":"Gill","given":"Jennifer A."},{"family":"Hails","given":"Rosemary S."},{"family":"Hartikainen","given":"Minna"},{"family":"Hester","given":"Alison J."},{"family":"Milner-Gulland","given":"E. J."},{"family":"Oliver","given":"Thomas H."},{"family":"Pearson","given":"Richard G."},{"family":"Sutherland","given":"William J."},{"family":"Thomas","given":"Chris D."},{"family":"Travis","given":"Justin M. J."},{"family":"Turnbull","given":"Lindsay A."},{"family":"Willis","given":"Kathy"},{"family":"Woodward","given":"Guy"},{"family":"Mace","given":"Georgina M."}],"issued":{"date-parts":[["2018"]]}}},{"id":2683,"uris":["http://zotero.org/users/2170232/items/TV7JF2Q6"],"uri":["http://zotero.org/users/2170232/items/TV7JF2Q6"],"itemData":{"id":2683,"type":"article-journal","abstract":"Evaluating the effectiveness of conservation funding is crucial for correct allocation of limited resources. Here we used bird monitoring data to assess the effects of long-term conservation investment in a Natura 2000 (N2000) bird protection area (PA), which during two decades benefited from protection regulations, conservation projects, and agri-environment schemes. Variation between 1995–1997 and 2010–2012 in richness and abundance of flagship (Otis tarda, Tetrax tetrax, and Falco naumanni) and specialized fallow field species were more favorable (i.e., increased more or declined less) inside the PA than in a nearby control area. However, the reverse was found for total bird species, farmland, ground-nesting and steppe species, species associated to ploughed fields, and species of European conservation concern. Enhancing the effectiveness of conservation investment in N2000 farmland may require a greater focus on the wider biodiversity alongside that currently devoted to flagship species, as well as improved matching between conservation and agricultural policies.","container-title":"Conservation Letters","DOI":"https://doi.org/10.1111/conl.12077","ISSN":"1755-263X","issue":"5","language":"en","note":"_eprint: https://conbio.onlinelibrary.wiley.com/doi/pdf/10.1111/conl.12077","page":"467-477","source":"Wiley Online Library","title":"Mixed Effects of Long-Term Conservation Investment in Natura 2000 Farmland","volume":"7","author":[{"family":"Santana","given":"Joana"},{"family":"Reino","given":"Luís"},{"family":"Stoate","given":"Chris"},{"family":"Borralho","given":"Rui"},{"family":"Carvalho","given":"Carlos Rio"},{"family":"Schindler","given":"Stefan"},{"family":"Moreira","given":"Francisco"},{"family":"Bugalho","given":"Miguel N."},{"family":"Ribeiro","given":"Paulo Flores"},{"family":"Santos","given":"José Lima"},{"family":"Vaz","given":"Alexandre"},{"family":"Morgado","given":"Rui"},{"family":"Porto","given":"Miguel"},{"family":"Beja","given":"Pedro"}],"issued":{"date-parts":[["2014"]]}}}],"schema":"https://github.com/citation-style-language/schema/raw/master/csl-citation.json"} </w:instrText>
      </w:r>
      <w:r w:rsidR="003D108F">
        <w:fldChar w:fldCharType="separate"/>
      </w:r>
      <w:r w:rsidR="003D108F" w:rsidRPr="003D108F">
        <w:rPr>
          <w:rFonts w:ascii="Calibri" w:hAnsi="Calibri" w:cs="Calibri"/>
        </w:rPr>
        <w:t>(Isaac et al., 2018; Santana et al., 2014)</w:t>
      </w:r>
      <w:r w:rsidR="003D108F">
        <w:fldChar w:fldCharType="end"/>
      </w:r>
      <w:r>
        <w:t>.</w:t>
      </w:r>
      <w:r w:rsidR="003D108F">
        <w:t xml:space="preserve"> </w:t>
      </w:r>
      <w:r>
        <w:t>This</w:t>
      </w:r>
      <w:r w:rsidR="004229EB">
        <w:t xml:space="preserve"> </w:t>
      </w:r>
      <w:r w:rsidR="003D108F">
        <w:t>is</w:t>
      </w:r>
      <w:r w:rsidR="004229EB">
        <w:t xml:space="preserve"> significantly longer than the duration of conservation grants</w:t>
      </w:r>
      <w:r w:rsidR="003D108F">
        <w:t xml:space="preserve"> which often cover periods of a few</w:t>
      </w:r>
      <w:r w:rsidR="003D108F" w:rsidRPr="003D108F">
        <w:t xml:space="preserve"> </w:t>
      </w:r>
      <w:r w:rsidR="003D108F">
        <w:t>years</w:t>
      </w:r>
      <w:r w:rsidR="000D3794">
        <w:t xml:space="preserve"> </w:t>
      </w:r>
      <w:r w:rsidR="000D3794">
        <w:fldChar w:fldCharType="begin"/>
      </w:r>
      <w:r w:rsidR="000D3794">
        <w:instrText xml:space="preserve"> ADDIN ZOTERO_ITEM CSL_CITATION {"citationID":"AHl0LHjU","properties":{"formattedCitation":"(Blom et al., 2010)","plainCitation":"(Blom et al., 2010)","noteIndex":0},"citationItems":[{"id":3175,"uris":["http://zotero.org/users/2170232/items/BGA74T47"],"uri":["http://zotero.org/users/2170232/items/BGA74T47"],"itemData":{"id":3175,"type":"article-journal","abstract":"Integrated conservation and development projects (ICDPs) have been a pervasive, although widely criticized, approach to tropical conservation for more than 20 years. More recently, international conservation discourse has shifted away from project-based approaches and towards reducing emissions from deforestation and forest degradation (REDD). While REDD is based upon experience with payment for environmental services (PES) initiatives and forest-related discussions in the United Nations (UN), REDD implementation will still require sub-national projects. Issues of equity will likely pit these sub-national projects against some of the same challenges that have dogged ICDPs. This suggests that REDD project developers stand to learn a great deal from the lessons generated by experience with ICDPs. This paper provides a list of best practices for ICDPs and applies their lessons as principles to guide the development and implementation of sub-national REDD projects. The intent of this approach is to encourage the design and implementation of sub-national REDD projects in a way that avoids the past pitfalls and mistakes, while building upon some successes, of the ICDP conservation approach. By doing so, REDD will be more likely to be implemented in a way that is effective, efficient and equitable.","container-title":"Environmental Science &amp; Policy","DOI":"10.1016/j.envsci.2010.01.002","ISSN":"1462-9011","issue":"2","journalAbbreviation":"Environmental Science &amp; Policy","language":"en","page":"164-172","source":"ScienceDirect","title":"Getting REDD to work locally: lessons learned from integrated conservation and development projects","title-short":"Getting REDD to work locally","volume":"13","author":[{"family":"Blom","given":"Benjamin"},{"family":"Sunderland","given":"Terry"},{"family":"Murdiyarso","given":"Daniel"}],"issued":{"date-parts":[["2010",4,1]]}}}],"schema":"https://github.com/citation-style-language/schema/raw/master/csl-citation.json"} </w:instrText>
      </w:r>
      <w:r w:rsidR="000D3794">
        <w:fldChar w:fldCharType="separate"/>
      </w:r>
      <w:r w:rsidR="000D3794" w:rsidRPr="000D3794">
        <w:rPr>
          <w:rFonts w:ascii="Calibri" w:hAnsi="Calibri" w:cs="Calibri"/>
        </w:rPr>
        <w:t>(</w:t>
      </w:r>
      <w:proofErr w:type="spellStart"/>
      <w:r w:rsidR="000D3794" w:rsidRPr="000D3794">
        <w:rPr>
          <w:rFonts w:ascii="Calibri" w:hAnsi="Calibri" w:cs="Calibri"/>
        </w:rPr>
        <w:t>Blom</w:t>
      </w:r>
      <w:proofErr w:type="spellEnd"/>
      <w:r w:rsidR="000D3794" w:rsidRPr="000D3794">
        <w:rPr>
          <w:rFonts w:ascii="Calibri" w:hAnsi="Calibri" w:cs="Calibri"/>
        </w:rPr>
        <w:t xml:space="preserve"> et al., 2010)</w:t>
      </w:r>
      <w:r w:rsidR="000D3794">
        <w:fldChar w:fldCharType="end"/>
      </w:r>
      <w:r w:rsidR="004229EB">
        <w:t>.</w:t>
      </w:r>
      <w:r w:rsidR="003D108F">
        <w:t xml:space="preserve"> Yet, g</w:t>
      </w:r>
      <w:r w:rsidR="0089199E">
        <w:t xml:space="preserve">rant-based funding </w:t>
      </w:r>
      <w:r w:rsidR="008A7BC9">
        <w:t>is</w:t>
      </w:r>
      <w:r w:rsidR="0089199E">
        <w:t xml:space="preserve"> the dominant mechanism for conservation investment</w:t>
      </w:r>
      <w:r w:rsidR="008A7BC9">
        <w:t xml:space="preserve"> largely because funders are hesitant to provide long-term institutional support to government agencies </w:t>
      </w:r>
      <w:r w:rsidR="008A7BC9">
        <w:t xml:space="preserve">that </w:t>
      </w:r>
      <w:r w:rsidR="00F8568A">
        <w:t xml:space="preserve">they consider </w:t>
      </w:r>
      <w:r w:rsidR="008A7BC9">
        <w:t xml:space="preserve">lack the necessary </w:t>
      </w:r>
      <w:r w:rsidR="00F8568A">
        <w:t>infrastructure, processes</w:t>
      </w:r>
      <w:r w:rsidR="004229EB">
        <w:t>,</w:t>
      </w:r>
      <w:r w:rsidR="00F8568A">
        <w:t xml:space="preserve"> a</w:t>
      </w:r>
      <w:r w:rsidR="004229EB">
        <w:t>nd</w:t>
      </w:r>
      <w:r w:rsidR="00F8568A">
        <w:t xml:space="preserve"> </w:t>
      </w:r>
      <w:r w:rsidR="008A7BC9">
        <w:t xml:space="preserve">technical </w:t>
      </w:r>
      <w:r w:rsidR="008A7BC9">
        <w:t>and human resources</w:t>
      </w:r>
      <w:r w:rsidR="005A539D">
        <w:t>.</w:t>
      </w:r>
      <w:r w:rsidR="008A7BC9">
        <w:t xml:space="preserve"> </w:t>
      </w:r>
      <w:r w:rsidR="005A539D">
        <w:t>P</w:t>
      </w:r>
      <w:r w:rsidR="008A7BC9">
        <w:t>roject- or grant-based funding</w:t>
      </w:r>
      <w:r w:rsidR="005A539D">
        <w:t xml:space="preserve"> however,</w:t>
      </w:r>
      <w:r w:rsidR="008A7BC9">
        <w:t xml:space="preserve"> allows donors to maintain control over </w:t>
      </w:r>
      <w:r w:rsidR="008A7BC9">
        <w:t>finances</w:t>
      </w:r>
      <w:r w:rsidR="00F8568A">
        <w:t xml:space="preserve"> and programme implementation</w:t>
      </w:r>
      <w:r w:rsidR="008A7BC9">
        <w:t xml:space="preserve">, standardise </w:t>
      </w:r>
      <w:r w:rsidR="008A7BC9">
        <w:t xml:space="preserve">approaches, and measure progress </w:t>
      </w:r>
      <w:r w:rsidR="008A7BC9">
        <w:fldChar w:fldCharType="begin"/>
      </w:r>
      <w:r w:rsidR="008A7BC9">
        <w:instrText xml:space="preserve"> ADDIN ZOTERO_ITEM CSL_CITATION {"citationID":"4POSgt9F","properties":{"formattedCitation":"(Sayer and Wells, 2004)","plainCitation":"(Sayer and Wells, 2004)","noteIndex":0},"citationItems":[{"id":2880,"uris":["http://zotero.org/users/2170232/items/ZUBKS2W7"],"uri":["http://zotero.org/users/2170232/items/ZUBKS2W7"],"itemData":{"id":2880,"type":"chapter","container-title":"Getting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projects","author":[{"family":"Sayer","given":"J"},{"family":"Wells","given":"MP"}],"issued":{"date-parts":[["2004"]]}}}],"schema":"https://github.com/citation-style-language/schema/raw/master/csl-citation.json"} </w:instrText>
      </w:r>
      <w:r w:rsidR="008A7BC9">
        <w:fldChar w:fldCharType="separate"/>
      </w:r>
      <w:r w:rsidR="008A7BC9" w:rsidRPr="008A7BC9">
        <w:rPr>
          <w:rFonts w:ascii="Calibri" w:hAnsi="Calibri" w:cs="Calibri"/>
        </w:rPr>
        <w:t>(Sayer and Wells, 2004)</w:t>
      </w:r>
      <w:r w:rsidR="008A7BC9">
        <w:fldChar w:fldCharType="end"/>
      </w:r>
      <w:r w:rsidR="008A7BC9">
        <w:t>.</w:t>
      </w:r>
      <w:r w:rsidR="003D108F">
        <w:t xml:space="preserve"> This means that conservation projects often lack funding that is continuous or stable over</w:t>
      </w:r>
      <w:r w:rsidR="005A539D">
        <w:t xml:space="preserve"> periods greater than a</w:t>
      </w:r>
      <w:r w:rsidR="008A13E3">
        <w:t xml:space="preserve"> given</w:t>
      </w:r>
      <w:r w:rsidR="005A539D">
        <w:t xml:space="preserve"> grant cycle. V</w:t>
      </w:r>
      <w:r w:rsidR="0089199E">
        <w:t xml:space="preserve">ery little research has been done to assess the effects of unstable, non-linear budgets on biodiversity outcomes, nor the effects of alternative </w:t>
      </w:r>
      <w:r w:rsidR="008A13E3">
        <w:t>funding</w:t>
      </w:r>
      <w:r w:rsidR="0089199E">
        <w:t xml:space="preserve"> strategies. Given the </w:t>
      </w:r>
      <w:r w:rsidR="003A0878">
        <w:t>in</w:t>
      </w:r>
      <w:r w:rsidR="0089199E">
        <w:t xml:space="preserve">adequate funding for conservation, to have the greatest positive effect on biodiversity as possible, managers and conservationists need to ensure the investment of scarce resources is strategic and efficient, and they must strive to maximise the biodiversity outcomes of each dollar spent </w:t>
      </w:r>
      <w:r w:rsidR="0089199E">
        <w:fldChar w:fldCharType="begin"/>
      </w:r>
      <w:r w:rsidR="00112E40">
        <w:instrText xml:space="preserve"> ADDIN ZOTERO_ITEM CSL_CITATION {"citationID":"4Q4WwWpB","properties":{"formattedCitation":"(Bruner et al., 2004; McBride et al., 2007; Waldron et al., 2013)","plainCitation":"(Bruner et al., 2004; McBride et al., 2007; Waldron et al., 2013)","noteIndex":0},"citationItems":[{"id":2304,"uris":["http://zotero.org/users/2170232/items/C89PR7SM"],"uri":["http://zotero.org/users/2170232/items/C89PR7SM"],"itemData":{"id":2304,"type":"article-journal","abstract":"Underfunding jeopardizes the ability of protected areas to safeguard biodiversity and the benefits that intact nature provides to society. In this article, we evaluate the cost of effectively managing all existing protected areas in developing countries, as well as the cost of expansion into high-priority new areas. We find that recent studies converge on a funding shortfall of $1 billion to $1.7 billion per year to manage all existing areas. The costs of establishing and managing an expanded protected-area system would total at least $4 billion per year over the next decade, an amount that far exceeds current spending but is well within the reach of the international community. These findings indicate the need for rapid action to mobilize significant new resources for the developing world's protected areas. In particular, this will require (a) the use of a range of tools to generate funds and improve efficiency of management; (b) greater precision and better communication of the costs and benefits of protected areas, both locally and globally; and (c) increased, stable support from developed countries for on-the-ground management of protected-area systems in developing countries.","container-title":"BioScience","DOI":"10.1641/0006-3568(2004)054[1119:FCASOM]2.0.CO;2","ISSN":"0006-3568","issue":"12","journalAbbreviation":"BioScience","page":"1119-1126","source":"Silverchair","title":"Financial Costs and Shortfalls of Managing and Expanding Protected-Area Systems in Developing Countries","volume":"54","author":[{"family":"Bruner","given":"Aaron G."},{"family":"Gullison","given":"Raymond E."},{"family":"Balmford","given":"Andrew"}],"issued":{"date-parts":[["2004",12,1]]}}},{"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L."}],"issued":{"date-parts":[["2013"]]}}}],"schema":"https://github.com/citation-style-language/schema/raw/master/csl-citation.json"} </w:instrText>
      </w:r>
      <w:r w:rsidR="0089199E">
        <w:fldChar w:fldCharType="separate"/>
      </w:r>
      <w:bookmarkStart w:id="6" w:name="__Fieldmark__97_362668386"/>
      <w:r w:rsidR="0089199E">
        <w:rPr>
          <w:rFonts w:cs="Calibri"/>
        </w:rPr>
        <w:t>(Bruner et al., 2004; McBride et al., 2007; Waldron et al., 2013)</w:t>
      </w:r>
      <w:r w:rsidR="0089199E">
        <w:fldChar w:fldCharType="end"/>
      </w:r>
      <w:bookmarkEnd w:id="6"/>
      <w:r w:rsidR="0089199E">
        <w:t xml:space="preserve">. </w:t>
      </w:r>
    </w:p>
    <w:p w14:paraId="4E62F054" w14:textId="1B8E71CD" w:rsidR="00386DF2" w:rsidRDefault="00386DF2">
      <w:r>
        <w:t>Grants for conservation activities vary in size and duration, with larger, long-term grants (between three and five years) often requiring significant investments in staff time for the development of applications, and substantial administrative capacity to manage the grant if it is awarded. Such grants are often awarded by international financial institutions or international development agencies and often come with complex rules governing procurement, accounting, and reporting. These requirements often preclude smaller organisations that do not have in-house fundraising teams or large financial management and administrative capacity</w:t>
      </w:r>
      <w:r w:rsidR="00B573B0">
        <w:t xml:space="preserve"> </w:t>
      </w:r>
      <w:r w:rsidR="00B573B0">
        <w:fldChar w:fldCharType="begin"/>
      </w:r>
      <w:r w:rsidR="00B573B0">
        <w:instrText xml:space="preserve"> ADDIN ZOTERO_ITEM CSL_CITATION {"citationID":"9hsm9coQ","properties":{"formattedCitation":"(Sanders et al., 2021)","plainCitation":"(Sanders et al., 2021)","noteIndex":0},"citationItems":[{"id":3173,"uris":["http://zotero.org/users/2170232/items/9UPGESHM"],"uri":["http://zotero.org/users/2170232/items/9UPGESHM"],"itemData":{"id":3173,"type":"article-journal","abstract":"Despite considerable achievements in the field of conservation, biodiversity continues to decline and conservation initiatives face numerous barriers. Although many of these barriers are well known, for example insufficient funding and capacity, there has been no systematic attempt to catalogue and categorize them into a typology. Because risks compromise the conservation mission, any barrier to success is a risk. Here we present the first attempt at identifying key barriers. We analyse extensive interviews with 74 conservationists, primarily from Africa but with international experience, to identify potential risks to their projects and use that information to create a typology of barriers to conservation success. We draw on the literature to explain the prevalence of some of the barriers identified. We suggest that this typology could form the basis of heuristic tools that conservationists can use to identify and manage potential risks to their projects, thereby improving decision-making, strategic planning and, ultimately, overall impact. The typology is also useful for the conservation community (comprising conservationists and funders) to help implement better practices and improve the likelihood of success. We present examples of such work already underway and suggest more can be done to continue to improve.","container-title":"Oryx","DOI":"10.1017/S0030605319000012","ISSN":"0030-6053, 1365-3008","issue":"2","language":"en","note":"publisher: Cambridge University Press","page":"245-254","source":"Cambridge University Press","title":"Conservation conversations: a typology of barriers to conservation success","title-short":"Conservation conversations","volume":"55","author":[{"family":"Sanders","given":"Michele Jeanette"},{"family":"Miller","given":"Laura"},{"family":"Bhagwat","given":"Shonil A."},{"family":"Rogers","given":"Alex"}],"issued":{"date-parts":[["2021",3]]}}}],"schema":"https://github.com/citation-style-language/schema/raw/master/csl-citation.json"} </w:instrText>
      </w:r>
      <w:r w:rsidR="00B573B0">
        <w:fldChar w:fldCharType="separate"/>
      </w:r>
      <w:r w:rsidR="00B573B0" w:rsidRPr="00B573B0">
        <w:rPr>
          <w:rFonts w:ascii="Calibri" w:hAnsi="Calibri" w:cs="Calibri"/>
        </w:rPr>
        <w:t>(Sanders et al., 2021)</w:t>
      </w:r>
      <w:r w:rsidR="00B573B0">
        <w:fldChar w:fldCharType="end"/>
      </w:r>
      <w:r>
        <w:t xml:space="preserve">. Alternatively, conservation organisations can apply for smaller, short-term grants (usually between </w:t>
      </w:r>
      <w:r>
        <w:lastRenderedPageBreak/>
        <w:t>one and three years) which are often targeted towards specific species, habitats, or activities. The smaller grants require less staff time for the application process and subsequent grant management yet can be limited in the amount of the award that can be spent on overheads, fixed costs, and other core project expenditure such as salaries, fuel, office space, and utilities</w:t>
      </w:r>
      <w:r w:rsidR="00B573B0">
        <w:t xml:space="preserve"> </w:t>
      </w:r>
      <w:r w:rsidR="00B573B0">
        <w:fldChar w:fldCharType="begin"/>
      </w:r>
      <w:r w:rsidR="00B573B0">
        <w:instrText xml:space="preserve"> ADDIN ZOTERO_ITEM CSL_CITATION {"citationID":"7lvgOqUw","properties":{"formattedCitation":"(Sanders et al., 2021)","plainCitation":"(Sanders et al., 2021)","noteIndex":0},"citationItems":[{"id":3173,"uris":["http://zotero.org/users/2170232/items/9UPGESHM"],"uri":["http://zotero.org/users/2170232/items/9UPGESHM"],"itemData":{"id":3173,"type":"article-journal","abstract":"Despite considerable achievements in the field of conservation, biodiversity continues to decline and conservation initiatives face numerous barriers. Although many of these barriers are well known, for example insufficient funding and capacity, there has been no systematic attempt to catalogue and categorize them into a typology. Because risks compromise the conservation mission, any barrier to success is a risk. Here we present the first attempt at identifying key barriers. We analyse extensive interviews with 74 conservationists, primarily from Africa but with international experience, to identify potential risks to their projects and use that information to create a typology of barriers to conservation success. We draw on the literature to explain the prevalence of some of the barriers identified. We suggest that this typology could form the basis of heuristic tools that conservationists can use to identify and manage potential risks to their projects, thereby improving decision-making, strategic planning and, ultimately, overall impact. The typology is also useful for the conservation community (comprising conservationists and funders) to help implement better practices and improve the likelihood of success. We present examples of such work already underway and suggest more can be done to continue to improve.","container-title":"Oryx","DOI":"10.1017/S0030605319000012","ISSN":"0030-6053, 1365-3008","issue":"2","language":"en","note":"publisher: Cambridge University Press","page":"245-254","source":"Cambridge University Press","title":"Conservation conversations: a typology of barriers to conservation success","title-short":"Conservation conversations","volume":"55","author":[{"family":"Sanders","given":"Michele Jeanette"},{"family":"Miller","given":"Laura"},{"family":"Bhagwat","given":"Shonil A."},{"family":"Rogers","given":"Alex"}],"issued":{"date-parts":[["2021",3]]}}}],"schema":"https://github.com/citation-style-language/schema/raw/master/csl-citation.json"} </w:instrText>
      </w:r>
      <w:r w:rsidR="00B573B0">
        <w:fldChar w:fldCharType="separate"/>
      </w:r>
      <w:r w:rsidR="00B573B0" w:rsidRPr="00B573B0">
        <w:rPr>
          <w:rFonts w:ascii="Calibri" w:hAnsi="Calibri" w:cs="Calibri"/>
        </w:rPr>
        <w:t>(Sanders et al., 2021)</w:t>
      </w:r>
      <w:r w:rsidR="00B573B0">
        <w:fldChar w:fldCharType="end"/>
      </w:r>
      <w:r>
        <w:t xml:space="preserve">. This results in the core operational budgets of smaller projects or organisations comprising small percentages of multiple short-term grants, leading to insecure and unstable core budgets that can fluctuate from year to year. Budgets such as this prohibit long-term strategic planning for investment of funds and conservation action </w:t>
      </w:r>
      <w:r>
        <w:fldChar w:fldCharType="begin"/>
      </w:r>
      <w:r>
        <w:instrText>ADDIN ZOTERO_ITEM CSL_CITATION {"citationID":"1oIC00Rq","properties":{"formattedCitation":"(Emerton et al., 2006)","plainCitation":"(Emerton et al., 2006)","noteIndex":0},"citationItems":[{"id":2774,"uris":["http://zotero.org/users/2170232/items/EZKK5V4T"],"uri":["http://zotero.org/users/2170232/items/EZKK5V4T"],"itemData":{"id":2774,"type":"book","collection-title":"Best Practice Protected Area Guidlines","event-place":"Gland, Switzerland","ISBN":"2-8317-0881-8","publisher":"IUCN","publisher-place":"Gland, Switzerland","title":"Sustainable financing of protected areas - A global review of challenges and options","author":[{"family":"Emerton","given":"Lucy"},{"family":"Bishop","given":"Joshua"},{"family":"Thomas","given":"Lee"}],"issued":{"date-parts":[["2006"]]}}}],"schema":"https://github.com/citation-style-language/schema/raw/master/csl-citation.json"}</w:instrText>
      </w:r>
      <w:r>
        <w:fldChar w:fldCharType="separate"/>
      </w:r>
      <w:bookmarkStart w:id="7" w:name="__Fieldmark__228_362668386"/>
      <w:r>
        <w:rPr>
          <w:rFonts w:cs="Calibri"/>
        </w:rPr>
        <w:t>(Emerton et al., 2006)</w:t>
      </w:r>
      <w:r>
        <w:fldChar w:fldCharType="end"/>
      </w:r>
      <w:bookmarkEnd w:id="7"/>
      <w:r>
        <w:t xml:space="preserve">. There is a paucity of research into the </w:t>
      </w:r>
      <w:r w:rsidR="003E7C67">
        <w:t>long-term implications of grant-based funding</w:t>
      </w:r>
      <w:r>
        <w:t xml:space="preserve"> on the effectiveness of conservation projects, </w:t>
      </w:r>
      <w:r w:rsidR="003E7C67">
        <w:t>or how</w:t>
      </w:r>
      <w:r>
        <w:t xml:space="preserve"> financial unpredictability</w:t>
      </w:r>
      <w:r w:rsidR="003E7C67">
        <w:t xml:space="preserve"> may </w:t>
      </w:r>
      <w:proofErr w:type="gramStart"/>
      <w:r w:rsidR="003E7C67">
        <w:t>effect</w:t>
      </w:r>
      <w:proofErr w:type="gramEnd"/>
      <w:r>
        <w:t xml:space="preserve"> biodiversity outcomes over time.</w:t>
      </w:r>
    </w:p>
    <w:p w14:paraId="47D64397" w14:textId="26F5F364" w:rsidR="00386DF2" w:rsidRPr="00386DF2" w:rsidRDefault="00E537F0">
      <w:pPr>
        <w:rPr>
          <w:b/>
          <w:bCs/>
          <w:i/>
          <w:iCs/>
        </w:rPr>
      </w:pPr>
      <w:r>
        <w:rPr>
          <w:b/>
          <w:bCs/>
          <w:i/>
          <w:iCs/>
        </w:rPr>
        <w:t xml:space="preserve">5.2.2. </w:t>
      </w:r>
      <w:r w:rsidR="00386DF2">
        <w:rPr>
          <w:b/>
          <w:bCs/>
          <w:i/>
          <w:iCs/>
        </w:rPr>
        <w:t>The effects of grant</w:t>
      </w:r>
      <w:r w:rsidR="00561F84">
        <w:rPr>
          <w:b/>
          <w:bCs/>
          <w:i/>
          <w:iCs/>
        </w:rPr>
        <w:t>-based funding on conservation projects</w:t>
      </w:r>
    </w:p>
    <w:p w14:paraId="49578038" w14:textId="0E52776B" w:rsidR="008A13E3" w:rsidRDefault="0089199E">
      <w:r>
        <w:t>Investing conservation funds strategically over time is made difficult when funding is based on short-term grants that generally last between one and five years</w:t>
      </w:r>
      <w:r w:rsidR="00BB0670">
        <w:t>, with little or no guarantee of future renewal of funding</w:t>
      </w:r>
      <w:r>
        <w:t xml:space="preserve"> </w:t>
      </w:r>
      <w:r>
        <w:fldChar w:fldCharType="begin"/>
      </w:r>
      <w:r w:rsidR="00321A08">
        <w:instrText xml:space="preserve"> ADDIN ZOTERO_ITEM CSL_CITATION {"citationID":"IXt04qes","properties":{"formattedCitation":"(Hodge and Adams, 2016; Sayer et al., 2017)","plainCitation":"(Hodge and Adams, 2016; Sayer et al., 2017)","noteIndex":0},"citationItems":[{"id":2770,"uris":["http://zotero.org/users/2170232/items/G4E99ZXN"],"uri":["http://zotero.org/users/2170232/items/G4E99ZXN"],"itemData":{"id":2770,"type":"article-journal","abstract":"Drawing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M."}],"issued":{"date-parts":[["2016",12]]}}},{"id":2869,"uris":["http://zotero.org/users/2170232/items/GJN2UEYM"],"uri":["http://zotero.org/users/2170232/items/GJN2UEYM"],"itemData":{"id":2869,"type":"article-journal","abstract":"Landscape approaches attempt to achieve balance amongst multiple goals over long time periods and to adapt to changing conditions. We review project reports and the literature on integrated landscape approaches, and found a lack of documented studies of their long-term effectiveness. The combination of multiple and potentially changing goals presents problems for the conventional measures of impact. We propose more critical use of theories of change and measures of process and progress to complement the conventional impact assessments. Theories of change make the links between project deliverables, outputs, outcomes, and impacts explicit, and allow a full exploration of the landscape context. Landscape approaches are long-term engagements, but short-term process metrics are needed to confirm that progress is being made in negotiation of goals, meaningful stakeholder engagement, existence of connections to policy processes, and effectiveness of governance. Long-term impact metrics are needed to assess progress on achieving landscapes that deliver multiple societal benefits, including conservation, production, and livelihood benefits. Generic criteria for process are proposed, but impact metrics will be highly situation specific and must be derived from an effective process and a credible theory of change.","container-title":"Sustainability Science","DOI":"10.1007/s11625-016-0415-z","ISSN":"1862-4057","issue":"3","journalAbbreviation":"Sustain Sci","language":"en","page":"465-476","source":"Springer Link","title":"Measuring the effectiveness of landscape approaches to conservation and development","volume":"12","author":[{"family":"Sayer","given":"Jeffrey A."},{"family":"Margules","given":"Chris"},{"family":"Boedhihartono","given":"Agni K."},{"family":"Sunderland","given":"Terry"},{"family":"Langston","given":"James D."},{"family":"Reed","given":"James"},{"family":"Riggs","given":"Rebecca"},{"family":"Buck","given":"Louise E."},{"family":"Campbell","given":"Bruce M."},{"family":"Kusters","given":"Koen"},{"family":"Elliott","given":"Chris"},{"family":"Minang","given":"Peter A."},{"family":"Dale","given":"Allan"},{"family":"Purnomo","given":"Herry"},{"family":"Stevenson","given":"James R."},{"family":"Gunarso","given":"Petrus"},{"family":"Purnomo","given":"Agus"}],"issued":{"date-parts":[["2017",5,1]]}}}],"schema":"https://github.com/citation-style-language/schema/raw/master/csl-citation.json"} </w:instrText>
      </w:r>
      <w:r>
        <w:fldChar w:fldCharType="separate"/>
      </w:r>
      <w:bookmarkStart w:id="8" w:name="__Fieldmark__112_362668386"/>
      <w:r w:rsidR="00321A08" w:rsidRPr="00321A08">
        <w:rPr>
          <w:rFonts w:ascii="Calibri" w:hAnsi="Calibri" w:cs="Calibri"/>
        </w:rPr>
        <w:t>(Hodge and Adams, 2016; Sayer et al., 2017)</w:t>
      </w:r>
      <w:r>
        <w:fldChar w:fldCharType="end"/>
      </w:r>
      <w:bookmarkEnd w:id="8"/>
      <w:r>
        <w:t>. Most conservation projects or initiatives, even in wealthy countries with relatively well-funded protected area networks, rely on such short-term grants to launch programmes, conduct research, and implement key activities such as training, engagement, enforcement, and outreach</w:t>
      </w:r>
      <w:r w:rsidR="00775391">
        <w:t xml:space="preserve"> </w:t>
      </w:r>
      <w:r w:rsidR="00775391">
        <w:fldChar w:fldCharType="begin"/>
      </w:r>
      <w:r w:rsidR="00775391">
        <w:instrText xml:space="preserve"> ADDIN ZOTERO_ITEM CSL_CITATION {"citationID":"Vlz3OyOM","properties":{"formattedCitation":"(Emerton et al., 2006)","plainCitation":"(Emerton et al., 2006)","noteIndex":0},"citationItems":[{"id":2774,"uris":["http://zotero.org/users/2170232/items/EZKK5V4T"],"uri":["http://zotero.org/users/2170232/items/EZKK5V4T"],"itemData":{"id":2774,"type":"book","collection-title":"Best Practice Protected Area Guidlines","event-place":"Gland, Switzerland","ISBN":"2-8317-0881-8","publisher":"IUCN","publisher-place":"Gland, Switzerland","title":"Sustainable financing of protected areas - A global review of challenges and options","author":[{"family":"Emerton","given":"Lucy"},{"family":"Bishop","given":"Joshua"},{"family":"Thomas","given":"Lee"}],"issued":{"date-parts":[["2006"]]}}}],"schema":"https://github.com/citation-style-language/schema/raw/master/csl-citation.json"} </w:instrText>
      </w:r>
      <w:r w:rsidR="00775391">
        <w:fldChar w:fldCharType="separate"/>
      </w:r>
      <w:r w:rsidR="00775391" w:rsidRPr="00775391">
        <w:rPr>
          <w:rFonts w:ascii="Calibri" w:hAnsi="Calibri" w:cs="Calibri"/>
        </w:rPr>
        <w:t>(Emerton et al., 2006)</w:t>
      </w:r>
      <w:r w:rsidR="00775391">
        <w:fldChar w:fldCharType="end"/>
      </w:r>
      <w:r>
        <w:t>. This funding model results in long-term budgets that are non-linear, unpredictable, do not necessarily track changes in threat levels</w:t>
      </w:r>
      <w:r w:rsidR="000D3794">
        <w:t xml:space="preserve">, and are rarely reflect the time required to see </w:t>
      </w:r>
      <w:r w:rsidR="000D3794">
        <w:t>positive</w:t>
      </w:r>
      <w:r w:rsidR="000D3794">
        <w:t xml:space="preserve"> conservation outcomes </w:t>
      </w:r>
      <w:r w:rsidR="00321A08">
        <w:fldChar w:fldCharType="begin"/>
      </w:r>
      <w:r w:rsidR="00851C66">
        <w:instrText xml:space="preserve"> ADDIN ZOTERO_ITEM CSL_CITATION {"citationID":"M3XLlaQh","properties":{"formattedCitation":"(Blom et al., 2010; Sayer et al., 2017)","plainCitation":"(Blom et al., 2010; Sayer et al., 2017)","noteIndex":0},"citationItems":[{"id":3175,"uris":["http://zotero.org/users/2170232/items/BGA74T47"],"uri":["http://zotero.org/users/2170232/items/BGA74T47"],"itemData":{"id":3175,"type":"article-journal","abstract":"Integrated conservation and development projects (ICDPs) have been a pervasive, although widely criticized, approach to tropical conservation for more than 20 years. More recently, international conservation discourse has shifted away from project-based approaches and towards reducing emissions from deforestation and forest degradation (REDD). While REDD is based upon experience with payment for environmental services (PES) initiatives and forest-related discussions in the United Nations (UN), REDD implementation will still require sub-national projects. Issues of equity will likely pit these sub-national projects against some of the same challenges that have dogged ICDPs. This suggests that REDD project developers stand to learn a great deal from the lessons generated by experience with ICDPs. This paper provides a list of best practices for ICDPs and applies their lessons as principles to guide the development and implementation of sub-national REDD projects. The intent of this approach is to encourage the design and implementation of sub-national REDD projects in a way that avoids the past pitfalls and mistakes, while building upon some successes, of the ICDP conservation approach. By doing so, REDD will be more likely to be implemented in a way that is effective, efficient and equitable.","container-title":"Environmental Science &amp; Policy","DOI":"10.1016/j.envsci.2010.01.002","ISSN":"1462-9011","issue":"2","journalAbbreviation":"Environmental Science &amp; Policy","language":"en","page":"164-172","source":"ScienceDirect","title":"Getting REDD to work locally: lessons learned from integrated conservation and development projects","title-short":"Getting REDD to work locally","volume":"13","author":[{"family":"Blom","given":"Benjamin"},{"family":"Sunderland","given":"Terry"},{"family":"Murdiyarso","given":"Daniel"}],"issued":{"date-parts":[["2010",4,1]]}}},{"id":2869,"uris":["http://zotero.org/users/2170232/items/GJN2UEYM"],"uri":["http://zotero.org/users/2170232/items/GJN2UEYM"],"itemData":{"id":2869,"type":"article-journal","abstract":"Landscape approaches attempt to achieve balance amongst multiple goals over long time periods and to adapt to changing conditions. We review project reports and the literature on integrated landscape approaches, and found a lack of documented studies of their long-term effectiveness. The combination of multiple and potentially changing goals presents problems for the conventional measures of impact. We propose more critical use of theories of change and measures of process and progress to complement the conventional impact assessments. Theories of change make the links between project deliverables, outputs, outcomes, and impacts explicit, and allow a full exploration of the landscape context. Landscape approaches are long-term engagements, but short-term process metrics are needed to confirm that progress is being made in negotiation of goals, meaningful stakeholder engagement, existence of connections to policy processes, and effectiveness of governance. Long-term impact metrics are needed to assess progress on achieving landscapes that deliver multiple societal benefits, including conservation, production, and livelihood benefits. Generic criteria for process are proposed, but impact metrics will be highly situation specific and must be derived from an effective process and a credible theory of change.","container-title":"Sustainability Science","DOI":"10.1007/s11625-016-0415-z","ISSN":"1862-4057","issue":"3","journalAbbreviation":"Sustain Sci","language":"en","page":"465-476","source":"Springer Link","title":"Measuring the effectiveness of landscape approaches to conservation and development","volume":"12","author":[{"family":"Sayer","given":"Jeffrey A."},{"family":"Margules","given":"Chris"},{"family":"Boedhihartono","given":"Agni K."},{"family":"Sunderland","given":"Terry"},{"family":"Langston","given":"James D."},{"family":"Reed","given":"James"},{"family":"Riggs","given":"Rebecca"},{"family":"Buck","given":"Louise E."},{"family":"Campbell","given":"Bruce M."},{"family":"Kusters","given":"Koen"},{"family":"Elliott","given":"Chris"},{"family":"Minang","given":"Peter A."},{"family":"Dale","given":"Allan"},{"family":"Purnomo","given":"Herry"},{"family":"Stevenson","given":"James R."},{"family":"Gunarso","given":"Petrus"},{"family":"Purnomo","given":"Agus"}],"issued":{"date-parts":[["2017",5,1]]}}}],"schema":"https://github.com/citation-style-language/schema/raw/master/csl-citation.json"} </w:instrText>
      </w:r>
      <w:r w:rsidR="00321A08">
        <w:fldChar w:fldCharType="separate"/>
      </w:r>
      <w:r w:rsidR="00851C66" w:rsidRPr="00851C66">
        <w:rPr>
          <w:rFonts w:ascii="Calibri" w:hAnsi="Calibri" w:cs="Calibri"/>
        </w:rPr>
        <w:t>(</w:t>
      </w:r>
      <w:proofErr w:type="spellStart"/>
      <w:r w:rsidR="00851C66" w:rsidRPr="00851C66">
        <w:rPr>
          <w:rFonts w:ascii="Calibri" w:hAnsi="Calibri" w:cs="Calibri"/>
        </w:rPr>
        <w:t>Blom</w:t>
      </w:r>
      <w:proofErr w:type="spellEnd"/>
      <w:r w:rsidR="00851C66" w:rsidRPr="00851C66">
        <w:rPr>
          <w:rFonts w:ascii="Calibri" w:hAnsi="Calibri" w:cs="Calibri"/>
        </w:rPr>
        <w:t xml:space="preserve"> et al., 2010; Sayer et al., 2017)</w:t>
      </w:r>
      <w:r w:rsidR="00321A08">
        <w:fldChar w:fldCharType="end"/>
      </w:r>
      <w:r w:rsidR="00FB3821">
        <w:t>.</w:t>
      </w:r>
      <w:r w:rsidR="00B34B5D">
        <w:t xml:space="preserve"> </w:t>
      </w:r>
      <w:r>
        <w:t>The financial stability of a conservation project or organisation is therefore reliant on the ability to leverage external funding through grant applications, which are inherently competitive and have low success rates</w:t>
      </w:r>
      <w:r w:rsidR="00F71372">
        <w:t xml:space="preserve"> </w:t>
      </w:r>
      <w:r w:rsidR="00F71372">
        <w:fldChar w:fldCharType="begin"/>
      </w:r>
      <w:r w:rsidR="00177F53">
        <w:instrText xml:space="preserve"> ADDIN ZOTERO_ITEM CSL_CITATION {"citationID":"iRWYjnSO","properties":{"formattedCitation":"(Sayer and Wells, 2004; Sohn, 2019)","plainCitation":"(Sayer and Wells, 2004; Sohn, 2019)","noteIndex":0},"citationItems":[{"id":2880,"uris":["http://zotero.org/users/2170232/items/ZUBKS2W7"],"uri":["http://zotero.org/users/2170232/items/ZUBKS2W7"],"itemData":{"id":2880,"type":"chapter","container-title":"Getting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id":2848,"uris":["http://zotero.org/users/2170232/items/P5TICLUH"],"uri":["http://zotero.org/users/2170232/items/P5TICLUH"],"itemData":{"id":2848,"type":"article-journal","abstract":"Experienced scientists reveal how to avoid application pitfalls to submit successful proposals.","container-title":"Nature","DOI":"10.1038/d41586-019-03914-5","issue":"7788","language":"en","note":"Bandiera_abtest: a\nCg_type: Career Feature\nnumber: 7788\npublisher: Nature Publishing Group\nSubject_term: Careers, Funding, Communication","page":"133-135","source":"www.nature.com","title":"Secrets to writing a winning grant","volume":"577","author":[{"family":"Sohn","given":"Emily"}],"issued":{"date-parts":[["2019",12,20]]}}}],"schema":"https://github.com/citation-style-language/schema/raw/master/csl-citation.json"} </w:instrText>
      </w:r>
      <w:r w:rsidR="00F71372">
        <w:fldChar w:fldCharType="separate"/>
      </w:r>
      <w:r w:rsidR="00177F53" w:rsidRPr="00177F53">
        <w:rPr>
          <w:rFonts w:ascii="Calibri" w:hAnsi="Calibri" w:cs="Calibri"/>
        </w:rPr>
        <w:t>(Sayer and Wells, 2004; Sohn, 2019)</w:t>
      </w:r>
      <w:r w:rsidR="00F71372">
        <w:fldChar w:fldCharType="end"/>
      </w:r>
      <w:r>
        <w:t>. This funding mechanism means that conservation projects go through periods of relative affluence when conservation activities (such as enforcement, policy interventions, and community engagement) can increase in scope and scale, ultimately leading to net benefits for nature</w:t>
      </w:r>
      <w:r w:rsidR="0051217D">
        <w:t xml:space="preserve"> </w:t>
      </w:r>
      <w:r w:rsidR="0051217D">
        <w:fldChar w:fldCharType="begin"/>
      </w:r>
      <w:r w:rsidR="0051217D">
        <w:instrText xml:space="preserve"> ADDIN ZOTERO_ITEM CSL_CITATION {"citationID":"v3S7Tv0f","properties":{"formattedCitation":"(Coad et al., 2019; Kearney et al., 2020; Lindsey et al., 2017)","plainCitation":"(Coad et al., 2019; Kearney et al., 2020; Lindsey et al., 2017)","noteIndex":0},"citationItems":[{"id":2020,"uris":["http://zotero.org/users/2170232/items/79MMDRKM"],"uri":["http://zotero.org/users/2170232/items/79MMDRKM"],"itemData":{"id":2020,"type":"article-journal","abstract":"Protected areas (PAs) are a key tool in efforts to safeguard biodiversity against increasing anthropogenic threats. As signatories to the 2011–2020 Strategic Plan for Biodiversity, 196 nations pledged support for expansion in the extent of the global PA estate and the quality of PA management. While this has resulted in substantial increases in PA designations, many sites lack the resources needed to guarantee effective biodiversity conservation. Using management reports from 2167 PAs (with an area representing 23% of the global terrestrial PA estate), we demonstrate that less than a quarter of these PAs report having adequate resources in terms of staffing and budget. Using data on the geographic ranges of the 11,919 terrestrial vertebrate species overlapping our sample of PAs, we estimate that only 4–9% of terrestrial amphibians, birds, and mammals are sufficiently represented within the existing global PA estate, when only adequately resourced PAs are considered. While continued expansion of the world's PAs is necessary, a shift in emphasis from quantity to quality is critical to effectively respond to the current biodiversity crisis.","container-title":"Frontiers in Ecology and the Environment","DOI":"10.1002/fee.2042","ISSN":"1540-9309","issue":"5","language":"en","page":"259-264","source":"Wiley Online Library","title":"Widespread shortfalls in protected area resourcing undermine efforts to conserve biodiversity","volume":"17","author":[{"family":"Coad","given":"Lauren"},{"family":"Watson","given":"James EM"},{"family":"Geldmann","given":"Jonas"},{"family":"Burgess","given":"Neil D."},{"family":"Leverington","given":"Fiona"},{"family":"Hockings","given":"Marc"},{"family":"Knights","given":"Kathryn"},{"family":"Marco","given":"Moreno Di"}],"issued":{"date-parts":[["2019"]]}}},{"id":2711,"uris":["http://zotero.org/users/2170232/items/UMA8FRZC"],"uri":["http://zotero.org/users/2170232/items/UMA8FRZC"],"itemData":{"id":2711,"type":"article-journal","abstract":"Protected areas are central to global efforts to prevent species extinctions, with many countries investing heavily in their establishment. Yet the designation of protected areas alone can only abate certain threats to biodiversity. Targeted management within protected areas is often required to achieve fully effective conservation within their boundaries. It remains unclear what combination of protected area designation and management is needed to remove the suite of processes that imperil species. Here, using Australia as a case study, we use a dataset on the pressures facing threatened species to determine the role of protected areas and management in conserving imperilled species. We found that protected areas that are not resourced for threat management could remove one or more threats to 1,185 (76%) species and all threats to very few (n = 51, 3%) species. In contrast, a protected area network that is adequately resourced to manage threatening processes within their boundary could remove one or more threats to almost all species (n = 1,551; c. 100%) and all threats to almost half (n = 740, 48%). However, 815 (52%) species face one or more threats that require coordinated conservation actions that protected areas alone could not remove. This research shows that investing in the continued expansion of Australia's protected area network without providing adequate funding for threat management within and beyond the existing protected area network will benefit few threatened species. These findings highlight that as the international community expands the global protected area network in accordance with the 2020 Strategic Plan for Biodiversity, a greater emphasis on the effectiveness of threat management is needed.","container-title":"Oryx","DOI":"10.1017/S0030605317001739","ISSN":"0030-6053, 1365-3008","issue":"2","language":"en","note":"publisher: Cambridge University Press","page":"276-284","source":"Cambridge University Press","title":"Estimating the benefit of well-managed protected areas for threatened species conservation","volume":"54","author":[{"family":"Kearney","given":"Stephen G."},{"family":"Adams","given":"Vanessa M."},{"family":"Fuller","given":"Richard A."},{"family":"Possingham","given":"Hugh P."},{"family":"Watson","given":"James E. M."}],"issued":{"date-parts":[["2020",3]]}}},{"id":2852,"uris":["http://zotero.org/users/2170232/items/QT7KGJZ7"],"uri":["http://zotero.org/users/2170232/items/QT7KGJZ7"],"itemData":{"id":2852,"type":"article-journal","abstract":"Using surveys of experts associated with 186 sites across 24 countries, we assessed the effectiveness of African protected areas (PAs) at conserving lions and their prey, identified factors that influence conservation effectiveness, and identified patterns in the severity of various threats. Less than one third of sampled PAs conserve lions at ≥50% of their estimated carrying capacity (K), and less than half conserve lion prey species at ≥50% of K. Given adequate management, PAs could theoretically support up to 4× the total extant population of wild African lions (~83,000), providing a measurable benchmark for future conservation efforts. The performance of PAs shows marked geographic variation, and in several countries there is a need for a significant elevation in conservation effort. Bushmeat poaching was identified as the most serious threat to both lions and to wildlife in general. The severity of threats to wildlife in PAs and the performance of prey populations were best predicted by geographic-socioeconomic variables related to the size of PAs, whether people were settled within PAs, human/livestock densities in neighbouring areas and national economic indicators. However, conservation outcomes for lions were best explained by management variables. PAs tended to be more effective for conserving lions and/or their prey where management budgets were higher, where photographic tourism was the primary land use, and, for prey, where fencing was present. Lions and prey fared less well relative to their estimated potential carrying capacities in poorer countries, where people were settled within PAs and where PAs were used for neither photographic tourism nor trophy hunting.","container-title":"Biological Conservation","DOI":"10.1016/j.biocon.2017.01.011","ISSN":"0006-3207","journalAbbreviation":"Biological Conservation","language":"en","page":"137-149","source":"ScienceDirect","title":"The performance of African protected areas for lions and their prey","volume":"209","author":[{"family":"Lindsey","given":"P. A."},{"family":"Petracca","given":"L. S."},{"family":"Funston","given":"P. J."},{"family":"Bauer","given":"H."},{"family":"Dickman","given":"A."},{"family":"Everatt","given":"K."},{"family":"Flyman","given":"M."},{"family":"Henschel","given":"P."},{"family":"Hinks","given":"A. E."},{"family":"Kasiki","given":"S."},{"family":"Loveridge","given":"A."},{"family":"Macdonald","given":"D. W."},{"family":"Mandisodza","given":"R."},{"family":"Mgoola","given":"W."},{"family":"Miller","given":"S. M."},{"family":"Nazerali","given":"S."},{"family":"Siege","given":"L."},{"family":"Uiseb","given":"K."},{"family":"Hunter","given":"L. T. B."}],"issued":{"date-parts":[["2017",5,1]]}}}],"schema":"https://github.com/citation-style-language/schema/raw/master/csl-citation.json"} </w:instrText>
      </w:r>
      <w:r w:rsidR="0051217D">
        <w:fldChar w:fldCharType="separate"/>
      </w:r>
      <w:r w:rsidR="0051217D" w:rsidRPr="0051217D">
        <w:rPr>
          <w:rFonts w:ascii="Calibri" w:hAnsi="Calibri" w:cs="Calibri"/>
        </w:rPr>
        <w:t>(Coad et al., 2019; Kearney et al., 2020; Lindsey et al., 2017)</w:t>
      </w:r>
      <w:r w:rsidR="0051217D">
        <w:fldChar w:fldCharType="end"/>
      </w:r>
      <w:r>
        <w:t>. The same projects will inevitably go through periods of financial hardship, which often occur between grants</w:t>
      </w:r>
      <w:r w:rsidR="00B908F7">
        <w:t xml:space="preserve"> </w:t>
      </w:r>
      <w:r w:rsidR="00B908F7">
        <w:fldChar w:fldCharType="begin"/>
      </w:r>
      <w:r w:rsidR="00F32E9C">
        <w:instrText xml:space="preserve"> ADDIN ZOTERO_ITEM CSL_CITATION {"citationID":"5OhW1GDZ","properties":{"formattedCitation":"(Lambin et al., 2019)","plainCitation":"(Lambin et al., 2019)","noteIndex":0},"citationItems":[{"id":3172,"uris":["http://zotero.org/users/2170232/items/5BIIZM3R"],"uri":["http://zotero.org/users/2170232/items/5BIIZM3R"],"itemData":{"id":3172,"type":"paper-conference","container-title":"Proceedings of the international conference on island invasives","event":"Island invasives: scaling up to meet the challenge","event-place":"Dundee, Scotland, UK","page":"651-657","publisher":"IUCN","publisher-place":"Dundee, Scotland, UK","title":"Achieving large scale, long-term invasive American mink control in northern Scotland despite short term funding","volume":"62","author":[{"family":"Lambin","given":"X."},{"family":"Horrill","given":"J.C."},{"family":"Raynor","given":"R."}],"issued":{"date-parts":[["2019"]]}}}],"schema":"https://github.com/citation-style-language/schema/raw/master/csl-citation.json"} </w:instrText>
      </w:r>
      <w:r w:rsidR="00B908F7">
        <w:fldChar w:fldCharType="separate"/>
      </w:r>
      <w:r w:rsidR="00F32E9C" w:rsidRPr="00F32E9C">
        <w:rPr>
          <w:rFonts w:ascii="Calibri" w:hAnsi="Calibri" w:cs="Calibri"/>
        </w:rPr>
        <w:t>(</w:t>
      </w:r>
      <w:proofErr w:type="spellStart"/>
      <w:r w:rsidR="00F32E9C" w:rsidRPr="00F32E9C">
        <w:rPr>
          <w:rFonts w:ascii="Calibri" w:hAnsi="Calibri" w:cs="Calibri"/>
        </w:rPr>
        <w:t>Lambin</w:t>
      </w:r>
      <w:proofErr w:type="spellEnd"/>
      <w:r w:rsidR="00F32E9C" w:rsidRPr="00F32E9C">
        <w:rPr>
          <w:rFonts w:ascii="Calibri" w:hAnsi="Calibri" w:cs="Calibri"/>
        </w:rPr>
        <w:t xml:space="preserve"> et al., 2019)</w:t>
      </w:r>
      <w:r w:rsidR="00B908F7">
        <w:fldChar w:fldCharType="end"/>
      </w:r>
      <w:r>
        <w:t xml:space="preserve">. </w:t>
      </w:r>
    </w:p>
    <w:p w14:paraId="342F701B" w14:textId="245F4661" w:rsidR="002D4DF5" w:rsidRDefault="00D6058D">
      <w:r>
        <w:t xml:space="preserve">When conservation projects </w:t>
      </w:r>
      <w:r w:rsidR="00FA4C5B">
        <w:t>experience periods of</w:t>
      </w:r>
      <w:r>
        <w:t xml:space="preserve"> inadequate funding, expenditure</w:t>
      </w:r>
      <w:r w:rsidR="0089199E">
        <w:t xml:space="preserve"> is restricted to </w:t>
      </w:r>
      <w:r w:rsidR="0089199E">
        <w:t xml:space="preserve">core activities, </w:t>
      </w:r>
      <w:r w:rsidR="008A13E3">
        <w:t>additional</w:t>
      </w:r>
      <w:r w:rsidR="00036E3D">
        <w:t xml:space="preserve"> </w:t>
      </w:r>
      <w:r w:rsidR="0089199E">
        <w:t xml:space="preserve">activities wind down, staff redundancies occur, </w:t>
      </w:r>
      <w:r w:rsidR="006C7A36">
        <w:t xml:space="preserve">research and monitoring activities decrease, </w:t>
      </w:r>
      <w:r w:rsidR="0089199E">
        <w:t>and</w:t>
      </w:r>
      <w:r w:rsidR="00036E3D">
        <w:t xml:space="preserve"> new</w:t>
      </w:r>
      <w:r w:rsidR="0089199E">
        <w:t xml:space="preserve"> initiatives </w:t>
      </w:r>
      <w:r w:rsidR="0089199E">
        <w:t>end</w:t>
      </w:r>
      <w:r>
        <w:t xml:space="preserve"> </w:t>
      </w:r>
      <w:r>
        <w:fldChar w:fldCharType="begin"/>
      </w:r>
      <w:r w:rsidR="00637A02">
        <w:instrText xml:space="preserve"> ADDIN ZOTERO_ITEM CSL_CITATION {"citationID":"Ww4UHedz","properties":{"formattedCitation":"(Bruner et al., 2004; Waithaka et al., 2021)","plainCitation":"(Bruner et al., 2004; Waithaka et al., 2021)","noteIndex":0},"citationItems":[{"id":2304,"uris":["http://zotero.org/users/2170232/items/C89PR7SM"],"uri":["http://zotero.org/users/2170232/items/C89PR7SM"],"itemData":{"id":2304,"type":"article-journal","abstract":"Underfunding jeopardizes the ability of protected areas to safeguard biodiversity and the benefits that intact nature provides to society. In this article, we evaluate the cost of effectively managing all existing protected areas in developing countries, as well as the cost of expansion into high-priority new areas. We find that recent studies converge on a funding shortfall of $1 billion to $1.7 billion per year to manage all existing areas. The costs of establishing and managing an expanded protected-area system would total at least $4 billion per year over the next decade, an amount that far exceeds current spending but is well within the reach of the international community. These findings indicate the need for rapid action to mobilize significant new resources for the developing world's protected areas. In particular, this will require (a) the use of a range of tools to generate funds and improve efficiency of management; (b) greater precision and better communication of the costs and benefits of protected areas, both locally and globally; and (c) increased, stable support from developed countries for on-the-ground management of protected-area systems in developing countries.","container-title":"BioScience","DOI":"10.1641/0006-3568(2004)054[1119:FCASOM]2.0.CO;2","ISSN":"0006-3568","issue":"12","journalAbbreviation":"BioScience","page":"1119-1126","source":"Silverchair","title":"Financial Costs and Shortfalls of Managing and Expanding Protected-Area Systems in Developing Countries","volume":"54","author":[{"family":"Bruner","given":"Aaron G."},{"family":"Gullison","given":"Raymond E."},{"family":"Balmford","given":"Andrew"}],"issued":{"date-parts":[["2004",12,1]]}}},{"id":2836,"uris":["http://zotero.org/users/2170232/items/KKQHXXJB"],"uri":["http://zotero.org/users/2170232/items/KKQHXXJB"],"itemData":{"id":2836,"type":"article-journal","container-title":"PARKS","issue":"Special Issue (COVID-19)","page":"41-56","title":"Impacts of COVID-19 on protected and conserved areas: A global overview and regional perspectives","volume":"27","author":[{"family":"Waithaka","given":"John"},{"family":"Dudley","given":"Nigel"},{"family":"Alvarez","given":"Monica"},{"family":"Arguedas Mora","given":"Stanley"},{"family":"Chapman","given":"Stuart"},{"family":"Figgis","given":"Penelope"},{"family":"Fitzsimons","given":"James"},{"family":"Gallon","given":"Susan"},{"family":"Gray","given":"Thomas N. E."},{"family":"Kim","given":"Minsun"},{"family":"Pasha","given":"M.K.S"},{"family":"Perkin","given":"Scott"},{"family":"Roig-Boixeda","given":"Paula"},{"family":"Sierra","given":"Claudine"},{"family":"Valverde","given":"Allan"},{"family":"Wong","given":"Mike"}],"issued":{"date-parts":[["2021"]]}}}],"schema":"https://github.com/citation-style-language/schema/raw/master/csl-citation.json"} </w:instrText>
      </w:r>
      <w:r>
        <w:fldChar w:fldCharType="separate"/>
      </w:r>
      <w:r w:rsidR="00637A02" w:rsidRPr="00637A02">
        <w:rPr>
          <w:rFonts w:ascii="Calibri" w:hAnsi="Calibri" w:cs="Calibri"/>
        </w:rPr>
        <w:t>(Bruner et al., 2004; Waithaka et al., 2021)</w:t>
      </w:r>
      <w:r>
        <w:fldChar w:fldCharType="end"/>
      </w:r>
      <w:r w:rsidR="0089199E">
        <w:t>. These periods can have serious negative effects on conservation projects</w:t>
      </w:r>
      <w:r>
        <w:t xml:space="preserve"> </w:t>
      </w:r>
      <w:r>
        <w:fldChar w:fldCharType="begin"/>
      </w:r>
      <w:r w:rsidR="006C7A36">
        <w:instrText xml:space="preserve"> ADDIN ZOTERO_ITEM CSL_CITATION {"citationID":"dod8baeH","properties":{"formattedCitation":"(Fernandes et al., 2017; Wittemyer, 2011)","plainCitation":"(Fernandes et al., 2017; Wittemyer, 2011)","noteIndex":0},"citationItems":[{"id":2838,"uris":["http://zotero.org/users/2170232/items/R6SFG39M"],"uri":["http://zotero.org/users/2170232/items/R6SFG39M"],"itemData":{"id":2838,"type":"article-journal","abstract":"In the middle of a political and fiscal crisis, the Brazilian government is applying successive budget cuts, including in science funding. Recent cuts radically affect research programs on biodiversity that are crucial components for the design and monitoring of public policies for nature conservation and sustainable development. We analyze the consequences of such cuts on the Research Program on Biodiversity (PPBio), the largest biodiversity research network in Brazil (626 researchers, nine networks in all Brazilian biomes). Brazil holds a substantial part of the world's biodiversity and of tropical forests that play a significant role for regional and global climate stability. If underfunding is maintained, the dismantling of the Brazilian PPBio will have consequences that go beyond biodiversity knowledge itself but affect society as a whole. Brazil will likely fail to reach the National Targets for Biodiversity 2011–2020, and it will be difficult to fulfill the restoration target of the Brazilian NDC and to advance with the sustainable development goals.","container-title":"Perspectives in Ecology and Conservation","DOI":"10.1016/j.pecon.2017.07.004","ISSN":"2530-0644","issue":"3","journalAbbreviation":"Perspectives in Ecology and Conservation","language":"en","page":"239-243","source":"ScienceDirect","title":"Dismantling Brazil's science threatens global biodiversity heritage","volume":"15","author":[{"family":"Fernandes","given":"G. Wilson"},{"family":"Vale","given":"Mariana M."},{"family":"Overbeck","given":"Gerhard E."},{"family":"Bustamante","given":"Mercedes M. C."},{"family":"Grelle","given":"Carlos E. V."},{"family":"Bergallo","given":"Helena Godoy"},{"family":"Magnusson","given":"William E."},{"family":"Akama","given":"Alberto"},{"family":"Alves","given":"Suelen S."},{"family":"Amorim","given":"André"},{"family":"Araújo","given":"Joaquim"},{"family":"Barros","given":"Claudia Franca"},{"family":"Bravo","given":"Freddy"},{"family":"Carim","given":"Marcelo J. Veiga"},{"family":"Cerqueira","given":"Rui"},{"family":"Collevatti","given":"Rosane Garcia"},{"family":"Colli","given":"Guarino R."},{"family":"Cunha","given":"Catia Nunes","non-dropping-particle":"da"},{"family":"D’Andrea","given":"Paulo Sergio"},{"family":"Dianese","given":"José Carmine"},{"family":"Diniz","given":"Soraia"},{"family":"Estrela","given":"Pedro Cordeiro"},{"family":"Fernandes","given":"Mariluce R. M."},{"family":"Fontana","given":"Carla Suertegaray"},{"family":"Giacomin","given":"Leandro L."},{"family":"Gusmão","given":"Luis Fernando P."},{"family":"Juncá","given":"Flora Acuña"},{"family":"Lins-e-Silva","given":"Ana Carolina Borges"},{"family":"Lopes","given":"Celia R. A. S."},{"family":"Lorini","given":"Maria Lucia"},{"family":"Queiroz","given":"Luciano Paganucci","non-dropping-particle":"de"},{"family":"Malabarba","given":"Luiz R."},{"family":"Marimon","given":"Beatriz Schwantes"},{"family":"Junior","given":"Ben Hur Marimon"},{"family":"Marques","given":"Marcia C. M."},{"family":"Martinelli","given":"Bruno M."},{"family":"Martins","given":"Marlucia Bonifacio"},{"family":"Medeiros","given":"Hermes Fonseca","non-dropping-particle":"de"},{"family":"Menin","given":"Marcelo"},{"family":"Morais","given":"Paula Benevides","non-dropping-particle":"de"},{"family":"Muniz","given":"Francisca Helena"},{"family":"Neckel-Oliveira","given":"Selvino"},{"family":"Oliveira","given":"João Alves","non-dropping-particle":"de"},{"family":"Oliveira","given":"Reyjane P."},{"family":"Pedroni","given":"Fernando"},{"family":"Penha","given":"Jerry"},{"family":"Podgaiski","given":"Luciana R."},{"family":"Rodrigues","given":"Domingos J."},{"family":"Scariot","given":"Aldicir"},{"family":"Silveira","given":"Luís Fábio"},{"family":"Silveira","given":"Marcos"},{"family":"Tomas","given":"Walfrido Moraes"},{"family":"Vital","given":"Marcos J. Salgado"},{"family":"Pillar","given":"Valério D."}],"issued":{"date-parts":[["2017",7,1]]}}},{"id":2834,"uris":["http://zotero.org/users/2170232/items/84UNBHDZ"],"uri":["http://zotero.org/users/2170232/items/84UNBHDZ"],"itemData":{"id":2834,"type":"article-journal","abstract":"Abstract: Declines in economic activity and associated changes in human livelihood strategies can increase threats of species overexploitation. This is exemplified by the effects of economic crises, which often drive intensification of subsistence poaching and greater reliance on natural resources. Whereas development theory links natural resource use to social-economic conditions, few empirical studies of the effect of economic downturns on wild animal species have been conducted. I assessed the relations between African elephant (Loxodonta africana) mortality and human-caused wounds in Samburu, Kenya and (1) livestock and maize prices (measures of local economic conditions), (2) change in national and regional gross domestic product (GDP) (measures of macroeconomic conditions), and (3) the normalized difference vegetation index (NDVI) (a correlate of primary productivity). In addition, I analyzed household survey data to determine the attitudes of local people toward protected areas and wild animals in the area. When cattle prices in the pastoralist study region were low, human-caused wounds to and adult mortality of elephants increased. The NDVI was negatively correlated with juvenile mortality, but not correlated with adult mortality. Changes in Kenyan and East Asian (primary market for ivory) GDP did not explain significant variation in mortality. Increased human wounding of elephants and elephant mortality during periods of low livestock prices (local economic downturns) likely reflect an economically driven increase in ivory poaching. Local but not macroeconomic indices explained significant variation in mortality, likely due to the dominance of the subsistence economy in the study area and its political and economic isolation. My results suggest economic metrics can serve as effective indicators of changes in human use of and resulting effects on natural resources. Such information can help focus management approaches (e.g., antipoaching effort or proffering of alternative occupational opportunities) that address variation in local activities that threaten plant and animal populations.","container-title":"Conservation Biology","DOI":"10.1111/j.1523-1739.2011.01713.x","ISSN":"1523-1739","issue":"5","language":"en","note":"_eprint: https://onlinelibrary.wiley.com/doi/pdf/10.1111/j.1523-1739.2011.01713.x","page":"1002-1009","source":"Wiley Online Library","title":"Effects of Economic Downturns on Mortality of Wild African Elephants","volume":"25","author":[{"family":"Wittemyer","given":"George"}],"issued":{"date-parts":[["2011"]]}}}],"schema":"https://github.com/citation-style-language/schema/raw/master/csl-citation.json"} </w:instrText>
      </w:r>
      <w:r>
        <w:fldChar w:fldCharType="separate"/>
      </w:r>
      <w:r w:rsidR="006C7A36" w:rsidRPr="006C7A36">
        <w:rPr>
          <w:rFonts w:ascii="Calibri" w:hAnsi="Calibri" w:cs="Calibri"/>
        </w:rPr>
        <w:t>(Fernandes et al., 2017; Wittemyer, 2011)</w:t>
      </w:r>
      <w:r>
        <w:fldChar w:fldCharType="end"/>
      </w:r>
      <w:r w:rsidR="0089199E">
        <w:t>. Organisations lose talented staff and thus institutional knowledge, trust between stakeholders and the project or organisation can be lost as commitments may not be met,</w:t>
      </w:r>
      <w:r w:rsidR="00177F53">
        <w:t xml:space="preserve"> local participation in project activities can end </w:t>
      </w:r>
      <w:r w:rsidR="00177F53">
        <w:fldChar w:fldCharType="begin"/>
      </w:r>
      <w:r w:rsidR="00177F53">
        <w:instrText xml:space="preserve"> ADDIN ZOTERO_ITEM CSL_CITATION {"citationID":"gCx4dhkA","properties":{"formattedCitation":"(Sayer and Wells, 2004)","plainCitation":"(Sayer and Wells, 2004)","noteIndex":0},"citationItems":[{"id":2880,"uris":["http://zotero.org/users/2170232/items/ZUBKS2W7"],"uri":["http://zotero.org/users/2170232/items/ZUBKS2W7"],"itemData":{"id":2880,"type":"chapter","container-title":"Getting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projects","author":[{"family":"Sayer","given":"J"},{"family":"Wells","given":"MP"}],"issued":{"date-parts":[["2004"]]}}}],"schema":"https://github.com/citation-style-language/schema/raw/master/csl-citation.json"} </w:instrText>
      </w:r>
      <w:r w:rsidR="00177F53">
        <w:fldChar w:fldCharType="separate"/>
      </w:r>
      <w:r w:rsidR="00177F53" w:rsidRPr="00177F53">
        <w:rPr>
          <w:rFonts w:ascii="Calibri" w:hAnsi="Calibri" w:cs="Calibri"/>
        </w:rPr>
        <w:t>(Sayer and Wells, 2004)</w:t>
      </w:r>
      <w:r w:rsidR="00177F53">
        <w:fldChar w:fldCharType="end"/>
      </w:r>
      <w:r w:rsidR="00177F53">
        <w:t>,</w:t>
      </w:r>
      <w:r w:rsidR="0089199E">
        <w:t xml:space="preserve"> and stakeholders may view the project</w:t>
      </w:r>
      <w:r w:rsidR="00F32E9C">
        <w:t xml:space="preserve"> and the implementing organisation(s)</w:t>
      </w:r>
      <w:r w:rsidR="0089199E">
        <w:t xml:space="preserve"> as unreliable due to inconsistent support</w:t>
      </w:r>
      <w:r w:rsidR="00637A02">
        <w:t xml:space="preserve"> </w:t>
      </w:r>
      <w:r w:rsidR="00637A02">
        <w:fldChar w:fldCharType="begin"/>
      </w:r>
      <w:r w:rsidR="00637A02">
        <w:instrText xml:space="preserve"> ADDIN ZOTERO_ITEM CSL_CITATION {"citationID":"WnFoSXIq","properties":{"formattedCitation":"(Waithaka et al., 2021)","plainCitation":"(Waithaka et al., 2021)","noteIndex":0},"citationItems":[{"id":2836,"uris":["http://zotero.org/users/2170232/items/KKQHXXJB"],"uri":["http://zotero.org/users/2170232/items/KKQHXXJB"],"itemData":{"id":2836,"type":"article-journal","container-title":"PARKS","issue":"Special Issue (COVID-19)","page":"41-56","title":"Impacts of COVID-19 on protected and conserved areas: A global overview and regional perspectives","volume":"27","author":[{"family":"Waithaka","given":"John"},{"family":"Dudley","given":"Nigel"},{"family":"Alvarez","given":"Monica"},{"family":"Arguedas Mora","given":"Stanley"},{"family":"Chapman","given":"Stuart"},{"family":"Figgis","given":"Penelope"},{"family":"Fitzsimons","given":"James"},{"family":"Gallon","given":"Susan"},{"family":"Gray","given":"Thomas N. E."},{"family":"Kim","given":"Minsun"},{"family":"Pasha","given":"M.K.S"},{"family":"Perkin","given":"Scott"},{"family":"Roig-Boixeda","given":"Paula"},{"family":"Sierra","given":"Claudine"},{"family":"Valverde","given":"Allan"},{"family":"Wong","given":"Mike"}],"issued":{"date-parts":[["2021"]]}}}],"schema":"https://github.com/citation-style-language/schema/raw/master/csl-citation.json"} </w:instrText>
      </w:r>
      <w:r w:rsidR="00637A02">
        <w:fldChar w:fldCharType="separate"/>
      </w:r>
      <w:r w:rsidR="00637A02" w:rsidRPr="00637A02">
        <w:rPr>
          <w:rFonts w:ascii="Calibri" w:hAnsi="Calibri" w:cs="Calibri"/>
        </w:rPr>
        <w:t>(Waithaka et al., 2021)</w:t>
      </w:r>
      <w:r w:rsidR="00637A02">
        <w:fldChar w:fldCharType="end"/>
      </w:r>
      <w:r w:rsidR="0089199E">
        <w:t>. In many parts of the world where unregulated or illegal activities such as forest clearance and hunting of wildlife threaten conservation landscapes, periods of financial hardship can cause increases in these activities as project support for enforcement, engagement, outreach, and overall project visibility decreases</w:t>
      </w:r>
      <w:r w:rsidR="006B1B53">
        <w:t xml:space="preserve"> </w:t>
      </w:r>
      <w:r w:rsidR="006B1B53">
        <w:fldChar w:fldCharType="begin"/>
      </w:r>
      <w:r w:rsidR="00B34B5D">
        <w:instrText xml:space="preserve"> ADDIN ZOTERO_ITEM CSL_CITATION {"citationID":"94aeVYos","properties":{"formattedCitation":"(Bang and Khadakkar, 2020; Henschel et al., 2014)","plainCitation":"(Bang and Khadakkar, 2020; Henschel et al., 2014)","noteIndex":0},"citationItems":[{"id":2840,"uris":["http://zotero.org/users/2170232/items/78YS8RI2"],"uri":["http://zotero.org/users/2170232/items/78YS8RI2"],"itemData":{"id":2840,"type":"article-journal","abstract":"The coronavirus disease 2019 (COVID-19) pandemic is the latest episode in a string of environment-borne human tragedies, catastrophic in its magnitude, reach, and repercussions. Understandably, the scientific literature has focused on the causes and consequences of the pandemic from an anthropocentric viewpoint. As immense as the human tragedy surrounding the pandemic is, the glaring blind spot is the ecological impact of the pandemic and the pandemic-induced lockdown. Scientific reports on the impacts of the pandemic on issues of conservation concern are minuscule in comparison with reports on social, economic, political, and health-related consequences. The sudden rapid outbreak of the disease, short time frame since the commencement of the lockdown, and inaccessibility to field sites to start new empirical studies and monitor ongoing studies have resulted in the absence of scientific evidence of direct impacts of the lockdown on species and ecosystems of concern. As a result, much of the direct ecological impact of the lockdown is still anecdotal. We believe that the current pandemic, the subsequent lockdown, and the postlockdown flurry to return to normalcy will have vital positive and negative consequences for biodiversity conservation. Furthermore, we believe that these repercussions present an opportunity to learn important lessons for how to deal with future crises. Here, we present an account of the possible consequences of the pandemic on biodiversity conservation and the way forward for a more stringent and comprehensive planetary conservation strategy.\n\n\n\nThe current pandemic, the subsequent lockdown, and the postlockdown flurry to return to normalcy will have vital positive and negative consequences for biodiversity conservation in places such as the dense forests in the northeast Indian state of Sikkim, pictured here. A world biodiversity hotspot, the Eastern Himalayan region in northeast India has recently been the focus of some debate regarding the compliance of environmental regulations in development … \n\n\n\n[</w:instrText>
      </w:r>
      <w:r w:rsidR="00B34B5D">
        <w:rPr>
          <w:rFonts w:ascii="Cambria Math" w:hAnsi="Cambria Math" w:cs="Cambria Math"/>
        </w:rPr>
        <w:instrText>↵</w:instrText>
      </w:r>
      <w:r w:rsidR="00B34B5D">
        <w:instrText xml:space="preserve">][1]1To whom correspondence may be addressed. Email: alokbang{at}gmail.com.\n\n [1]: #xref-corresp-1-1","container-title":"Proceedings of the National Academy of Sciences","DOI":"10.1073/pnas.2021460117","ISSN":"0027-8424, 1091-6490","issue":"48","journalAbbreviation":"PNAS","language":"en","note":"publisher: National Academy of Sciences\nsection: Opinion\nPMID: 33177236","page":"29995-29999","source":"www.pnas.org","title":"Opinion: Biodiversity conservation during a global crisis: Consequences and the way forward","title-short":"Opinion","volume":"117","author":[{"family":"Bang","given":"Alok"},{"family":"Khadakkar","given":"Suvarna"}],"issued":{"date-parts":[["2020",12,1]]}}},{"id":2843,"uris":["http://zotero.org/users/2170232/items/DE5R4JFB"],"uri":["http://zotero.org/users/2170232/items/DE5R4JFB"],"itemData":{"id":2843,"type":"article-journal","abstract":"The African lion has declined to &lt;35,000 individuals occupying 25% of its historic range. The situation is most critical for the geographically isolated populations in West Africa, where the species is considered regionally endangered. Elevating their conservation significance, recent molecular studies establish the genetic distinctiveness of West and Central African lions from other extant African populations. Interventions to save West African lions are urgently required. However formulating effective conservation strategies has been hampered by a lack of data on the species' current distribution, status, and potential management deficiencies of protected areas (PAs) harboring lions. Our study synthesized available expert opinion and field data to close this knowledge gap, and formulate recommendations for the conservation of West African lions. We undertook lion surveys in 13 large (&gt;500 km2) PAs and compiled evidence of lion presence/absence for a further eight PAs. All PAs were situated within Lion Conservation Units, geographical units designated as priority lion areas by wildlife experts at a regional lion conservation workshop in 2005. Lions were confirmed in only 4 PAs, and our results suggest that only 406 (273–605) lions remain in West Africa, representing &lt;250 mature individuals. Confirmed lion range is estimated at 49,000 km2, or 1.1% of historical range in West Africa. PAs retaining lions were larger than PAs without lions and had significantly higher management budgets. We encourage revision of lion taxonomy, to recognize the genetic distinctiveness of West African lions and highlight their potentially unique conservation value. Further, we call for listing of the lion as critically endangered in West Africa, under criterion C2a(ii) for populations with &lt;250 mature individuals. Finally, considering the relative poverty of lion range states in West Africa, we call for urgent mobilization of investment from the international community to assist range states to increase management effectiveness of PAs retaining lions.","container-title":"PLOS ONE","DOI":"10.1371/journal.pone.0083500","ISSN":"1932-6203","issue":"1","journalAbbreviation":"PLOS ONE","language":"en","note":"publisher: Public Library of Science","page":"e83500","source":"PLoS Journals","title":"The Lion in West Africa Is Critically Endangered","volume":"9","author":[{"family":"Henschel","given":"Philipp"},{"family":"Coad","given":"Lauren"},{"family":"Burton","given":"Cole"},{"family":"Chataigner","given":"Beatrice"},{"family":"Dunn","given":"Andrew"},{"family":"MacDonald","given":"David"},{"family":"Saidu","given":"Yohanna"},{"family":"Hunter","given":"Luke T. B."}],"issued":{"date-parts":[["2014",1,8]]}}}],"schema":"https://github.com/citation-style-language/schema/raw/master/csl-citation.json"} </w:instrText>
      </w:r>
      <w:r w:rsidR="006B1B53">
        <w:fldChar w:fldCharType="separate"/>
      </w:r>
      <w:r w:rsidR="00B34B5D" w:rsidRPr="00B34B5D">
        <w:rPr>
          <w:rFonts w:ascii="Calibri" w:hAnsi="Calibri" w:cs="Calibri"/>
        </w:rPr>
        <w:t>(Bang and Khadakkar, 2020; Henschel et al., 2014)</w:t>
      </w:r>
      <w:r w:rsidR="006B1B53">
        <w:fldChar w:fldCharType="end"/>
      </w:r>
      <w:r w:rsidR="0089199E">
        <w:t xml:space="preserve">. </w:t>
      </w:r>
    </w:p>
    <w:p w14:paraId="31251CE6" w14:textId="1EF26A9D" w:rsidR="00561F84" w:rsidRDefault="00561F84">
      <w:r>
        <w:t>The cycle of organisations applying for grants to maintain budgets leads to ‘</w:t>
      </w:r>
      <w:proofErr w:type="spellStart"/>
      <w:r>
        <w:t>projectification</w:t>
      </w:r>
      <w:proofErr w:type="spellEnd"/>
      <w:r>
        <w:t>’, whereby control over conservation activities, interventions, and strategic direction is ceded to funders</w:t>
      </w:r>
      <w:r w:rsidR="00B573B0">
        <w:t xml:space="preserve"> </w:t>
      </w:r>
      <w:r w:rsidR="00B573B0">
        <w:fldChar w:fldCharType="begin"/>
      </w:r>
      <w:r w:rsidR="00B573B0">
        <w:instrText xml:space="preserve"> ADDIN ZOTERO_ITEM CSL_CITATION {"citationID":"D86WhrqB","properties":{"formattedCitation":"(Sanders et al., 2021)","plainCitation":"(Sanders et al., 2021)","noteIndex":0},"citationItems":[{"id":3173,"uris":["http://zotero.org/users/2170232/items/9UPGESHM"],"uri":["http://zotero.org/users/2170232/items/9UPGESHM"],"itemData":{"id":3173,"type":"article-journal","abstract":"Despite considerable achievements in the field of conservation, biodiversity continues to decline and conservation initiatives face numerous barriers. Although many of these barriers are well known, for example insufficient funding and capacity, there has been no systematic attempt to catalogue and categorize them into a typology. Because risks compromise the conservation mission, any barrier to success is a risk. Here we present the first attempt at identifying key barriers. We analyse extensive interviews with 74 conservationists, primarily from Africa but with international experience, to identify potential risks to their projects and use that information to create a typology of barriers to conservation success. We draw on the literature to explain the prevalence of some of the barriers identified. We suggest that this typology could form the basis of heuristic tools that conservationists can use to identify and manage potential risks to their projects, thereby improving decision-making, strategic planning and, ultimately, overall impact. The typology is also useful for the conservation community (comprising conservationists and funders) to help implement better practices and improve the likelihood of success. We present examples of such work already underway and suggest more can be done to continue to improve.","container-title":"Oryx","DOI":"10.1017/S0030605319000012","ISSN":"0030-6053, 1365-3008","issue":"2","language":"en","note":"publisher: Cambridge University Press","page":"245-254","source":"Cambridge University Press","title":"Conservation conversations: a typology of barriers to conservation success","title-short":"Conservation conversations","volume":"55","author":[{"family":"Sanders","given":"Michele Jeanette"},{"family":"Miller","given":"Laura"},{"family":"Bhagwat","given":"Shonil A."},{"family":"Rogers","given":"Alex"}],"issued":{"date-parts":[["2021",3]]}}}],"schema":"https://github.com/citation-style-language/schema/raw/master/csl-citation.json"} </w:instrText>
      </w:r>
      <w:r w:rsidR="00B573B0">
        <w:fldChar w:fldCharType="separate"/>
      </w:r>
      <w:r w:rsidR="00B573B0" w:rsidRPr="00B573B0">
        <w:rPr>
          <w:rFonts w:ascii="Calibri" w:hAnsi="Calibri" w:cs="Calibri"/>
        </w:rPr>
        <w:t>(Sanders et al., 2021)</w:t>
      </w:r>
      <w:r w:rsidR="00B573B0">
        <w:fldChar w:fldCharType="end"/>
      </w:r>
      <w:r>
        <w:t xml:space="preserve">, as conservation organisations adapt to funding trends and specific funder interests in an effort to remain competitive in grant applications, and maintain project funding </w:t>
      </w:r>
      <w:r>
        <w:fldChar w:fldCharType="begin"/>
      </w:r>
      <w:r>
        <w:instrText xml:space="preserve"> ADDIN ZOTERO_ITEM CSL_CITATION {"citationID":"ayzbprnL","properties":{"formattedCitation":"(Hodge and Adams, 2016; Rodr\\uc0\\u237{}guez et al., 2007)","plainCitation":"(Hodge and Adams, 2016; Rodríguez et al., 2007)","noteIndex":0},"citationItems":[{"id":2770,"uris":["http://zotero.org/users/2170232/items/G4E99ZXN"],"uri":["http://zotero.org/users/2170232/items/G4E99ZXN"],"itemData":{"id":2770,"type":"article-journal","abstract":"Drawing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id":2864,"uris":["http://zotero.org/users/2170232/items/C56MGBUZ"],"uri":["http://zotero.org/users/2170232/items/C56MGBUZ"],"itemData":{"id":2864,"type":"article-journal","container-title":"Science","DOI":"10.1126/science.1145560","issue":"5839","note":"publisher: American Association for the Advancement of Science","page":"755-756","source":"science.org (Atypon)","title":"Globalization of Conservation: A View from the South","title-short":"Globalization of Conservation","volume":"317","author":[{"family":"Rodríguez","given":"J. P."},{"family":"Taber","given":"A. B."},{"family":"Daszak","given":"P."},{"family":"Sukumar","given":"R."},{"family":"Valladares-Padua","given":"C."},{"family":"Padua","given":"S."},{"family":"Aguirre","given":"L. F."},{"family":"Medellín","given":"R. A."},{"family":"Acosta","given":"M."},{"family":"Aguirre","given":"A. A."},{"family":"Bonacic","given":"C."},{"family":"Bordino","given":"P."},{"family":"Bruschini","given":"J."},{"family":"Buchori","given":"D."},{"family":"González","given":"S."},{"family":"Mathew","given":"T."},{"family":"Méndez","given":"M."},{"family":"Mugica","given":"L."},{"family":"Pacheco","given":"L. F."},{"family":"Dobson","given":"A. P."},{"family":"Pearl","given":"M."}],"issued":{"date-parts":[["2007",8,10]]}}}],"schema":"https://github.com/citation-style-language/schema/raw/master/csl-citation.json"} </w:instrText>
      </w:r>
      <w:r>
        <w:fldChar w:fldCharType="separate"/>
      </w:r>
      <w:bookmarkStart w:id="9" w:name="__Fieldmark__178_362668386"/>
      <w:r w:rsidRPr="00A74284">
        <w:rPr>
          <w:rFonts w:ascii="Calibri" w:hAnsi="Calibri" w:cs="Calibri"/>
          <w:szCs w:val="24"/>
        </w:rPr>
        <w:t>(Hodge and Adams, 2016; Rodríguez et al., 2007)</w:t>
      </w:r>
      <w:r>
        <w:fldChar w:fldCharType="end"/>
      </w:r>
      <w:bookmarkEnd w:id="9"/>
      <w:r>
        <w:t xml:space="preserve">. If financial and operational control is external in grant-funded projects that involve partnerships with government agencies, local organisations or communities, then host country authorities and other local partners will be unlikely </w:t>
      </w:r>
      <w:r>
        <w:lastRenderedPageBreak/>
        <w:t xml:space="preserve">to embrace responsibility, nor have any sense of ownership or genuine partnership </w:t>
      </w:r>
      <w:r>
        <w:fldChar w:fldCharType="begin"/>
      </w:r>
      <w:r>
        <w:instrText xml:space="preserve"> ADDIN ZOTERO_ITEM CSL_CITATION {"citationID":"SXr7PZxS","properties":{"formattedCitation":"(Hodge and Adams, 2016)","plainCitation":"(Hodge and Adams, 2016)","noteIndex":0},"citationItems":[{"id":2770,"uris":["http://zotero.org/users/2170232/items/G4E99ZXN"],"uri":["http://zotero.org/users/2170232/items/G4E99ZXN"],"itemData":{"id":2770,"type":"article-journal","abstract":"Drawing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M."}],"issued":{"date-parts":[["2016",12]]}}}],"schema":"https://github.com/citation-style-language/schema/raw/master/csl-citation.json"} </w:instrText>
      </w:r>
      <w:r>
        <w:fldChar w:fldCharType="separate"/>
      </w:r>
      <w:r w:rsidRPr="00441F7A">
        <w:rPr>
          <w:rFonts w:ascii="Calibri" w:hAnsi="Calibri" w:cs="Calibri"/>
        </w:rPr>
        <w:t>(Hodge and Adams, 2016)</w:t>
      </w:r>
      <w:r>
        <w:fldChar w:fldCharType="end"/>
      </w:r>
      <w:r>
        <w:t xml:space="preserve">. There is also often a lack of transparency and coordination between funders and grant distributors which reduces cohesion and makes strategic allocation of funds at a broader scale difficult </w:t>
      </w:r>
      <w:r>
        <w:fldChar w:fldCharType="begin"/>
      </w:r>
      <w:r w:rsidR="00C14993">
        <w:instrText xml:space="preserve"> ADDIN ZOTERO_ITEM CSL_CITATION {"citationID":"dRIl0zs6","properties":{"formattedCitation":"(Brockington and Scholfield, 2010; Laufer and Jones, 2021; Sayer et al., 2017)","plainCitation":"(Brockington and Scholfield, 2010; Laufer and Jones, 2021; Sayer et al., 2017)","noteIndex":0},"citationItems":[{"id":3177,"uris":["http://zotero.org/users/2170232/items/J6AGZEUP"],"uri":["http://zotero.org/users/2170232/items/J6AGZEUP"],"itemData":{"id":3177,"type":"article-journal","abstract":"Evaluations of conservation performance and efficiency are still in their infancy. They will require understanding more about where conservation funds are actually spent, and how conservation sectors are structured. We present an overview of the work of conservation nongovernmental organizations (NGOs) in sub-Saharan Africa from 2004 to 2006, based on an extensive survey and consultation exercise. We show that the distribution of funds within the sector is highly unequal, concentrated in a few organizations. Expenditure within the continent is uneven, highest in the south and lowest in the west. Only a small proportion of protected areas receive some form of support. At a country level, expenditure is well matched with species richness and threat, but the causes of those correlations are not clear. These results identify what we need to know about what conservation organizations actually do and thus advance the task of evaluating conservation effectiveness.","container-title":"Conservation Letters","DOI":"10.1111/j.1755-263X.2010.00094.x","ISSN":"1755-263X","issue":"2","language":"en","note":"_eprint: https://onlinelibrary.wiley.com/doi/pdf/10.1111/j.1755-263X.2010.00094.x","page":"106-113","source":"Wiley Online Library","title":"Expenditure by conservation nongovernmental organizations in sub-Saharan Africa","volume":"3","author":[{"family":"Brockington","given":"Dan"},{"family":"Scholfield","given":"Katherine"}],"issued":{"date-parts":[["2010"]]}}},{"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D"}],"issued":{"date-parts":[["2021",4,1]]}}},{"id":2869,"uris":["http://zotero.org/users/2170232/items/GJN2UEYM"],"uri":["http://zotero.org/users/2170232/items/GJN2UEYM"],"itemData":{"id":2869,"type":"article-journal","abstract":"Landscape approaches attempt to achieve balance amongst multiple goals over long time periods and to adapt to changing conditions. We review project reports and the literature on integrated landscape approaches, and found a lack of documented studies of their long-term effectiveness. The combination of multiple and potentially changing goals presents problems for the conventional measures of impact. We propose more critical use of theories of change and measures of process and progress to complement the conventional impact assessments. Theories of change make the links between project deliverables, outputs, outcomes, and impacts explicit, and allow a full exploration of the landscape context. Landscape approaches are long-term engagements, but short-term process metrics are needed to confirm that progress is being made in negotiation of goals, meaningful stakeholder engagement, existence of connections to policy processes, and effectiveness of governance. Long-term impact metrics are needed to assess progress on achieving landscapes that deliver multiple societal benefits, including conservation, production, and livelihood benefits. Generic criteria for process are proposed, but impact metrics will be highly situation specific and must be derived from an effective process and a credible theory of change.","container-title":"Sustainability Science","DOI":"10.1007/s11625-016-0415-z","ISSN":"1862-4057","issue":"3","journalAbbreviation":"Sustain Sci","language":"en","page":"465-476","source":"Springer Link","title":"Measuring the effectiveness of landscape approaches to conservation and development","volume":"12","author":[{"family":"Sayer","given":"Jeffrey A."},{"family":"Margules","given":"Chris"},{"family":"Boedhihartono","given":"Agni K."},{"family":"Sunderland","given":"Terry"},{"family":"Langston","given":"James D."},{"family":"Reed","given":"James"},{"family":"Riggs","given":"Rebecca"},{"family":"Buck","given":"Louise E."},{"family":"Campbell","given":"Bruce M."},{"family":"Kusters","given":"Koen"},{"family":"Elliott","given":"Chris"},{"family":"Minang","given":"Peter A."},{"family":"Dale","given":"Allan"},{"family":"Purnomo","given":"Herry"},{"family":"Stevenson","given":"James R."},{"family":"Gunarso","given":"Petrus"},{"family":"Purnomo","given":"Agus"}],"issued":{"date-parts":[["2017",5,1]]}}}],"schema":"https://github.com/citation-style-language/schema/raw/master/csl-citation.json"} </w:instrText>
      </w:r>
      <w:r>
        <w:fldChar w:fldCharType="separate"/>
      </w:r>
      <w:bookmarkStart w:id="10" w:name="__Fieldmark__188_362668386"/>
      <w:r w:rsidR="00C14993" w:rsidRPr="00C14993">
        <w:rPr>
          <w:rFonts w:ascii="Calibri" w:hAnsi="Calibri" w:cs="Calibri"/>
        </w:rPr>
        <w:t xml:space="preserve">(Brockington and </w:t>
      </w:r>
      <w:proofErr w:type="spellStart"/>
      <w:r w:rsidR="00C14993" w:rsidRPr="00C14993">
        <w:rPr>
          <w:rFonts w:ascii="Calibri" w:hAnsi="Calibri" w:cs="Calibri"/>
        </w:rPr>
        <w:t>Scholfield</w:t>
      </w:r>
      <w:proofErr w:type="spellEnd"/>
      <w:r w:rsidR="00C14993" w:rsidRPr="00C14993">
        <w:rPr>
          <w:rFonts w:ascii="Calibri" w:hAnsi="Calibri" w:cs="Calibri"/>
        </w:rPr>
        <w:t>, 2010; Laufer and Jones, 2021; Sayer et al., 2017)</w:t>
      </w:r>
      <w:r>
        <w:fldChar w:fldCharType="end"/>
      </w:r>
      <w:bookmarkEnd w:id="10"/>
      <w:r>
        <w:t>. Nevertheless, many conservation projects are unable to fund activities through other means.</w:t>
      </w:r>
    </w:p>
    <w:p w14:paraId="453D3801" w14:textId="3065FAE8" w:rsidR="003E7C67" w:rsidRPr="00192C7B" w:rsidRDefault="00E537F0">
      <w:pPr>
        <w:rPr>
          <w:b/>
          <w:bCs/>
          <w:i/>
          <w:iCs/>
        </w:rPr>
      </w:pPr>
      <w:r>
        <w:rPr>
          <w:b/>
          <w:bCs/>
          <w:i/>
          <w:iCs/>
        </w:rPr>
        <w:t xml:space="preserve">5.2.3. </w:t>
      </w:r>
      <w:r w:rsidR="00192C7B">
        <w:rPr>
          <w:b/>
          <w:bCs/>
          <w:i/>
          <w:iCs/>
        </w:rPr>
        <w:t xml:space="preserve">The research </w:t>
      </w:r>
      <w:proofErr w:type="gramStart"/>
      <w:r w:rsidR="00192C7B">
        <w:rPr>
          <w:b/>
          <w:bCs/>
          <w:i/>
          <w:iCs/>
        </w:rPr>
        <w:t>gap</w:t>
      </w:r>
      <w:proofErr w:type="gramEnd"/>
    </w:p>
    <w:p w14:paraId="01864F5C" w14:textId="7CFB06B5" w:rsidR="002D4DF5" w:rsidRDefault="0089199E">
      <w:r>
        <w:t xml:space="preserve">Site-level assessments of investment priorities are relatively common, and form an important part of a manager’s toolkit for developing strategy </w:t>
      </w:r>
      <w:r>
        <w:fldChar w:fldCharType="begin"/>
      </w:r>
      <w:r>
        <w:instrText>ADDIN ZOTERO_ITEM CSL_CITATION {"citationID":"69QPOqEe","properties":{"formattedCitation":"(Ervin, 2003; Utami et al., 2020)","plainCitation":"(Ervin, 2003; Utami et al., 2020)","dontUpdate":true,"noteIndex":0},"citationItems":[{"id":2772,"uris":["http://zotero.org/users/2170232/items/PEIS75AG"],"uri":["http://zotero.org/users/2170232/items/PEIS75AG"],"itemData":{"id":2772,"type":"article-journal","abstract":"Assessing the management effectiveness of a protected area system can enable policymakers to develop strategic, systemwide responses to pervasive management problems. The World Wide Fund for Nature International has developed the Rapid Assessment and Prioritization of Protected Area Management (RAPPAM) methodology. This article summarizes results from the implementation of the RAPPAM methodology in Bhutan, China, Russia, and South Africa. Five threats emerged warranting concerted policy effort: poaching, alien plants, tourism, logging, and encroachment. Similarly, five management issues emerged that influence protected area management effectiveness: funding, staffing, research and monitoring, resource inventories, and community relations. By identifying the most pressing issues in protected areas, an assessment of management effectiveness can be used to improve protected area management.","container-title":"BioScience","DOI":"10.1641/0006-3568(2003)053[0833:RAOPAM]2.0.CO;2","ISSN":"0006-3568","issue":"9","journalAbbreviation":"BioScience","page":"833-841","source":"Silverchair","title":"Rapid Assessment of Protected Area Management Effectiveness in Four Countries","volume":"53","author":[{"family":"Ervin","given":"Jamison"}],"issued":{"date-parts":[["2003",9,1]]}}},{"id":2696,"uris":["http://zotero.org/users/2170232/items/44DA7BRS"],"uri":["http://zotero.org/users/2170232/items/44DA7BRS"],"itemData":{"id":2696,"type":"article-journal","abstract":"The multiple values delivered by protected areas around the world are threatened and in decline. We propose a structured decision science prioritization approach for justifying and guiding increased investments in protected area management to improve outcomes for a suite of important values. Using Bali's only national park, Taman Nasional Bali Barat (TNBB) as a case study, we draw from existing park documentation and 80 participating experts in TNBB's ecology, society and management to define goals that describe a successful outcome for nine core values of the park: threatened species, ecosystem function, ecosystem habitats, scientific research, food and health, spiritual values, traditional fishing, community prosperity, and ecotourism. Participants estimated that without increased investment, the extent of goal achievement is likely to be below 30% for all values at the end of the 15-year planning time frame. However, implementing nine strategies, at an increased annual investment of 5.5 billion Indonesian rupiah (US$385,666) per year, would achieve the goals for all values. The most cost-effective strategies were predicted to be collaboration and planning, monitoring and managing invasive species, followed by establishing and using a research and management fund, adapting to climate change, managing illegal resource use, waste and human impacts, as well as improving the captive breeding program for the iconic and critically endangered bird, curik Bali. Our approach may be useful for systematically comparing costed sets of management investments in other conservation areas worldwide.","container-title":"Conservation Science and Practice","DOI":"https://doi.org/10.1111/csp2.157","ISSN":"2578-4854","issue":"6","language":"en","note":"_eprint: https://conbio.onlinelibrary.wiley.com/doi/pdf/10.1111/csp2.157","page":"e157","source":"Wiley Online Library","title":"Prioritizing management strategies to achieve multiple outcomes in a globally significant Indonesian protected area","volume":"2","author":[{"family":"Utami","given":"Ni Wayan Febriana"},{"family":"Wirawan","given":"I. Gede Putu"},{"family":"Firn","given":"Jennifer"},{"family":"Kepakisan","given":"Agus Ngurah Krisna"},{"family":"Kusdyana","given":"I. Putu Gede Arya"},{"family":"Nicol","given":"Sam"},{"family":"Carwardine","given":"Josie"}],"issued":{"date-parts":[["2020"]]}}}],"schema":"https://github.com/citation-style-language/schema/raw/master/csl-citation.json"}</w:instrText>
      </w:r>
      <w:r>
        <w:fldChar w:fldCharType="separate"/>
      </w:r>
      <w:bookmarkStart w:id="11" w:name="__Fieldmark__282_362668386"/>
      <w:r>
        <w:rPr>
          <w:rFonts w:cs="Calibri"/>
        </w:rPr>
        <w:t>(see Ervin, 2003; Utami et al., 2020)</w:t>
      </w:r>
      <w:r>
        <w:fldChar w:fldCharType="end"/>
      </w:r>
      <w:bookmarkEnd w:id="11"/>
      <w:r>
        <w:t xml:space="preserve">. Yet studies that provide broader theoretical insights into long-term investment strategies in the context of finite resources are lacking. There is a large body of literature that explores prioritising conservation investment over space, or the ‘conservation resource allocation problem’ </w:t>
      </w:r>
      <w:r>
        <w:fldChar w:fldCharType="begin"/>
      </w:r>
      <w:r>
        <w:instrText>ADDIN ZOTERO_ITEM CSL_CITATION {"citationID":"KdX2yyQQ","properties":{"formattedCitation":"(Wilson et al., 2006)","plainCitation":"(Wilson et al., 2006)","noteIndex":0},"citationItems":[{"id":1827,"uris":["http://zotero.org/users/2170232/items/IHWG9Q3Q"],"uri":["http://zotero.org/users/2170232/items/IHWG9Q3Q"],"itemData":{"id":1827,"type":"article-journal","abstract":"One of the most pressing issues facing the global conservation community is how to distribute limited resources between regions identified as priorities for biodiversity conservation1,2,3. Approaches such as biodiversity hotspots4, endemic bird areas5 and ecoregions6 are used by international organizations to prioritize conservation efforts globally7. Although identifying priority regions is an important first step in solving this problem, it does not indicate how limited resources should be allocated between regions. Here we formulate how to allocate optimally conservation resources between regions identified as priorities for conservation—the ‘conservation resource allocation problem’. Stochastic dynamic programming is used to find the optimal schedule of resource allocation for small problems but is intractable for large problems owing to the “curse of dimensionality”8. We identify two easy-to-use and easy-to-interpret heuristics that closely approximate the optimal solution. We also show the importance of both correctly formulating the problem and using information on how investment returns change through time. Our conservation resource allocation approach can be applied at any spatial scale. We demonstrate the approach with an example of optimal resource allocation among five priority regions in Wallacea and Sundaland, the transition zone between Asia and Australasia.","container-title":"Nature","DOI":"10.1038/nature04366","ISSN":"1476-4687","issue":"7082","language":"en","page":"337-340","source":"www.nature.com","title":"Prioritizing global conservation efforts","volume":"440","author":[{"family":"Wilson","given":"Kerrie A."},{"family":"McBride","given":"Marissa F."},{"family":"Bode","given":"Michael"},{"family":"Possingham","given":"Hugh P."}],"issued":{"date-parts":[["2006",3]]}}}],"schema":"https://github.com/citation-style-language/schema/raw/master/csl-citation.json"}</w:instrText>
      </w:r>
      <w:r>
        <w:fldChar w:fldCharType="separate"/>
      </w:r>
      <w:bookmarkStart w:id="12" w:name="__Fieldmark__297_362668386"/>
      <w:r>
        <w:rPr>
          <w:rFonts w:cs="Calibri"/>
        </w:rPr>
        <w:t>(Wilson et al., 2006)</w:t>
      </w:r>
      <w:r>
        <w:fldChar w:fldCharType="end"/>
      </w:r>
      <w:bookmarkEnd w:id="12"/>
      <w:r>
        <w:t xml:space="preserve">, with approaches including return on investment </w:t>
      </w:r>
      <w:r>
        <w:fldChar w:fldCharType="begin"/>
      </w:r>
      <w:r>
        <w:instrText>ADDIN ZOTERO_ITEM CSL_CITATION {"citationID":"Zq1GyBO7","properties":{"formattedCitation":"(Armsworth et al., 2018; Murdoch et al., 2010)","plainCitation":"(Armsworth et al., 2018; Murdoch et al., 2010)","noteIndex":0},"citationItems":[{"id":1942,"uris":["http://zotero.org/users/2170232/items/5RNUMHPC"],"uri":["http://zotero.org/users/2170232/items/5RNUMHPC"],"itemData":{"id":1942,"type":"article-journal","abstract":"Policy guidelines for creating new protected areas commonly recommend larger protected areas be favored. We examine whether these recommendations are justified, providing the first evaluation of this question to use return-on-investment (ROI) methods that account for how protected area size influences multiple ecological benefits and the economic costs of protection. We examine areas acquired to protect forested ecosystems in the eastern US that are rich in endemic species. ROI analyses often alter recommendations about protected area size from those obtained when considering only ecological benefits or only economic costs. Large protected areas offer a greater ecological return per dollar invested if the goal of protecting sites is to reduce forest fragmentation on the wider landscape, whereas smaller sites offer a higher ROI when prioritizing sites offering protection to more species. A portfolio of site sizes may need to be included in protected area networks when multiple objectives motivate conservation.","container-title":"Biological Conservation","DOI":"10.1016/j.biocon.2018.07.005","ISSN":"0006-3207","journalAbbreviation":"Biological Conservation","page":"229-236","source":"ScienceDirect","title":"Is conservation right to go big? Protected area size and conservation return-on-investment","title-short":"Is conservation right to go big?","volume":"225","author":[{"family":"Armsworth","given":"Paul R."},{"family":"Jackson","given":"Heather B."},{"family":"Cho","given":"Seong-Hoon"},{"family":"Clark","given":"Melissa"},{"family":"Fargione","given":"Joseph E."},{"family":"Iacona","given":"Gwenllian D."},{"family":"Kim","given":"Taeyoung"},{"family":"Larson","given":"Eric R."},{"family":"Minney","given":"Thomas"},{"family":"Sutton","given":"Nathan A."}],"issued":{"date-parts":[["2018",9,1]]}}},{"id":2689,"uris":["http://zotero.org/users/2170232/items/6RIZYR3F"],"uri":["http://zotero.org/users/2170232/items/6RIZYR3F"],"itemData":{"id":2689,"type":"article-journal","abstract":"The rapid global loss of natural habitats and biodiversity, and limited resources, place a premium on maximizing the expected benefits of conservation actions. The scarcity of information on the fine-grained distribution of species of conservation concern, on risks of loss, and on costs of conservation actions, especially in developing countries, makes efficient conservation difficult. The distribution of ecosystem types (unique ecological communities) is typically better known than species and arguably better represents the entirety of biodiversity than do well-known taxa, so we use conserving the diversity of ecosystem types as our conservation goal. We define conservation benefit to include risk of conversion, spatial effects that reward clumping of habitat, and diminishing returns to investment in any one ecosystem type. Using Argentine grasslands as an example, we compare three strategies: protecting the cheapest land (“minimize cost”), maximizing conservation benefit regardless of cost (“maximize benefit”), and maximizing conservation benefit per dollar (“return on investment”). We first show that the widely endorsed goal of saving some percentage (typically 10%) of a country or habitat type, although it may inspire conservation, is a poor operational goal. It either leads to the accumulation of areas with low conservation benefit or requires infeasibly large sums of money, and it distracts from the real problem: maximizing conservation benefit given limited resources. Second, given realistic budgets, return on investment is superior to the other conservation strategies. Surprisingly, however, over a wide range of budgets, minimizing cost provides more conservation benefit than does the maximize-benefit strategy.","container-title":"Proceedings of the National Academy of Sciences","DOI":"10.1073/pnas.1011851107","ISSN":"0027-8424, 1091-6490","issue":"49","journalAbbreviation":"PNAS","language":"en","note":"publisher: National Academy of Sciences\nsection: Biological Sciences\nPMID: 21098281","page":"20855-20862","source":"www.pnas.org","title":"Using return on investment to maximize conservation effectiveness in Argentine grasslands","volume":"107","author":[{"family":"Murdoch","given":"William"},{"family":"Ranganathan","given":"Jai"},{"family":"Polasky","given":"Stephen"},{"family":"Regetz","given":"James"}],"issued":{"date-parts":[["2010",12,7]]}}}],"schema":"https://github.com/citation-style-language/schema/raw/master/csl-citation.json"}</w:instrText>
      </w:r>
      <w:r>
        <w:fldChar w:fldCharType="separate"/>
      </w:r>
      <w:bookmarkStart w:id="13" w:name="__Fieldmark__305_362668386"/>
      <w:r>
        <w:rPr>
          <w:rFonts w:cs="Calibri"/>
        </w:rPr>
        <w:t>(Armsworth et al., 2018; Murdoch et al., 2010)</w:t>
      </w:r>
      <w:r>
        <w:fldChar w:fldCharType="end"/>
      </w:r>
      <w:bookmarkEnd w:id="13"/>
      <w:r>
        <w:t xml:space="preserve">, heuristic algorithms </w:t>
      </w:r>
      <w:r>
        <w:fldChar w:fldCharType="begin"/>
      </w:r>
      <w:r>
        <w:instrText>ADDIN ZOTERO_ITEM CSL_CITATION {"citationID":"GvIBfX38","properties":{"formattedCitation":"(Meir et al., 2004; Wilson et al., 2006)","plainCitation":"(Meir et al., 2004; Wilson et al., 2006)","noteIndex":0},"citationItems":[{"id":651,"uris":["http://zotero.org/users/2170232/items/DF6K8MJQ"],"uri":["http://zotero.org/users/2170232/items/DF6K8MJQ"],"itemData":{"id":651,"type":"article-journal","container-title":"Ecology Letters","DOI":"10.1111/j.1461-0248.2004.00624.x","ISSN":"1461-023X, 1461-0248","issue":"8","language":"en","page":"615-622","source":"CrossRef","title":"Does conservation planning matter in a dynamic and uncertain world?","volume":"7","author":[{"family":"Meir","given":"Eli"},{"family":"Andelman","given":"Sandy"},{"family":"Possingham","given":"Hugh P."}],"issued":{"date-parts":[["2004",8]]}}},{"id":1827,"uris":["http://zotero.org/users/2170232/items/IHWG9Q3Q"],"uri":["http://zotero.org/users/2170232/items/IHWG9Q3Q"],"itemData":{"id":1827,"type":"article-journal","abstract":"One of the most pressing issues facing the global conservation community is how to distribute limited resources between regions identified as priorities for biodiversity conservation1,2,3. Approaches such as biodiversity hotspots4, endemic bird areas5 and ecoregions6 are used by international organizations to prioritize conservation efforts globally7. Although identifying priority regions is an important first step in solving this problem, it does not indicate how limited resources should be allocated between regions. Here we formulate how to allocate optimally conservation resources between regions identified as priorities for conservation—the ‘conservation resource allocation problem’. Stochastic dynamic programming is used to find the optimal schedule of resource allocation for small problems but is intractable for large problems owing to the “curse of dimensionality”8. We identify two easy-to-use and easy-to-interpret heuristics that closely approximate the optimal solution. We also show the importance of both correctly formulating the problem and using information on how investment returns change through time. Our conservation resource allocation approach can be applied at any spatial scale. We demonstrate the approach with an example of optimal resource allocation among five priority regions in Wallacea and Sundaland, the transition zone between Asia and Australasia.","container-title":"Nature","DOI":"10.1038/nature04366","ISSN":"1476-4687","issue":"7082","language":"en","page":"337-340","source":"www.nature.com","title":"Prioritizing global conservation efforts","volume":"440","author":[{"family":"Wilson","given":"Kerrie A."},{"family":"McBride","given":"Marissa F."},{"family":"Bode","given":"Michael"},{"family":"Possingham","given":"Hugh P."}],"issued":{"date-parts":[["2006",3]]}}}],"schema":"https://github.com/citation-style-language/schema/raw/master/csl-citation.json"}</w:instrText>
      </w:r>
      <w:r>
        <w:fldChar w:fldCharType="separate"/>
      </w:r>
      <w:bookmarkStart w:id="14" w:name="__Fieldmark__310_362668386"/>
      <w:r>
        <w:rPr>
          <w:rFonts w:cs="Calibri"/>
        </w:rPr>
        <w:t>(Meir et al., 2004; Wilson et al., 2006)</w:t>
      </w:r>
      <w:r>
        <w:fldChar w:fldCharType="end"/>
      </w:r>
      <w:bookmarkEnd w:id="14"/>
      <w:r>
        <w:t xml:space="preserve">, regression models </w:t>
      </w:r>
      <w:r>
        <w:fldChar w:fldCharType="begin"/>
      </w:r>
      <w:r>
        <w:instrText>ADDIN ZOTERO_ITEM CSL_CITATION {"citationID":"jDNJeYoa","properties":{"formattedCitation":"(Fishburn et al., 2013)","plainCitation":"(Fishburn et al., 2013)","noteIndex":0},"citationItems":[{"id":2672,"uris":["http://zotero.org/users/2170232/items/KNW89CHQ"],"uri":["http://zotero.org/users/2170232/items/KNW89CHQ"],"itemData":{"id":2672,"type":"article-journal","abstract":"While numerous scientific publications have used biological data and sometimes decision theory to identify where conservation funds should be invested, studies that examine where money for conservation actually has been spent and how investment patterns have changed through time are scarce. We analyze changing spatial patterns of spending on land protection, using investments by a major conservation organization, The Nature Conservancy (TNC), in the conterminous United States as a case study. We focus on investments in land protection made by TNC in four decades (1970–2009) using fee simple and easement acquisitions. During this period, TNC expanded and accelerated its investments in land conservation. We compare patterns of conservation investment in different states via two metrics: (1) the amount TNC spent to acquire land for protection, and (2) the overall area protected. The two metrics, while correlated, reveal different information about TNC’s investment patterns. The amount of conservation activity TNC undertook in different states shows pronounced variation when measured either by the overall area protected or the cost of acquiring that area. We used a regression approach to relate variation in investment levels across states in each decade to a suite of biological and socioeconomic factors relevant to the effectiveness of conservation resource allocation decisions. Through time, these variables are able to explain greater spatial variation in the levels of investment into different states. The richness of native species per state showed the strongest association with overall investment levels. However, land costs also influenced investment patterns in recent decades but in ways that differed when measured by the overall area protected and by the money spent to protect it.","container-title":"Biological Conservation","DOI":"10.1016/j.biocon.2013.02.007","ISSN":"0006-3207","journalAbbreviation":"Biological Conservation","language":"en","page":"223-229","source":"ScienceDirect","title":"Changing spatial patterns of conservation investment by a major land trust","volume":"161","author":[{"family":"Fishburn","given":"Isla S."},{"family":"Boyer","given":"Alison G."},{"family":"Kareiva","given":"Peter"},{"family":"Gaston","given":"Kevin J."},{"family":"Armsworth","given":"Paul R."}],"issued":{"date-parts":[["2013",5,1]]}}}],"schema":"https://github.com/citation-style-language/schema/raw/master/csl-citation.json"}</w:instrText>
      </w:r>
      <w:r>
        <w:fldChar w:fldCharType="separate"/>
      </w:r>
      <w:bookmarkStart w:id="15" w:name="__Fieldmark__315_362668386"/>
      <w:r>
        <w:rPr>
          <w:rFonts w:cs="Calibri"/>
        </w:rPr>
        <w:t>(Fishburn et al., 2013)</w:t>
      </w:r>
      <w:r>
        <w:fldChar w:fldCharType="end"/>
      </w:r>
      <w:bookmarkEnd w:id="15"/>
      <w:r>
        <w:t xml:space="preserve">, and impact mapping </w:t>
      </w:r>
      <w:r>
        <w:fldChar w:fldCharType="begin"/>
      </w:r>
      <w:r>
        <w:instrText>ADDIN ZOTERO_ITEM CSL_CITATION {"citationID":"Qq9htVBn","properties":{"formattedCitation":"(Tulloch et al., 2020)","plainCitation":"(Tulloch et al., 2020)","noteIndex":0},"citationItems":[{"id":2707,"uris":["http://zotero.org/users/2170232/items/TQ5YUEPN"],"uri":["http://zotero.org/users/2170232/items/TQ5YUEPN"],"itemData":{"id":2707,"type":"article-journal","abstract":"Stressors to marine ecosystems are increasing, driven by human activities in the sea and on land, and climate change. Cumulative impact maps highlight regions affected by multiple human activities, but efficient conservation investment requires linking dominant pressures to management actions that best address the particular drivers of impacts. We rebuild cumulative impact maps by stressor type (climate change, marine and land) at a global scale to evaluate the expected effectiveness of various management strategies for all coastal territories. Average cumulative impact from non-marine stressors (climate and land) was double those of marine impacts at a national level. The greatest climate impacts by country were in the waters of Pacific Island and Antarctic territories; in the Caspian Sea region and East-Asia for land impacts; and in the waters of European, East-Asian and Caribbean countries for marine impacts. We developed a conservation-effectiveness indicator for the 10 worst-impacted countries in each of the three stressor categories. The indicator considered common management tools for each stressor category: ecosystem-based adaptation and disaster risk reduction (climate), marine protected areas (marine) and integrated coastal management (land). Key disparities were found between broad-scale management of marine ecosystems and the dominant stressors, with existing management in tropical island nations likely insufficient to address intense impacts from climate change. These countries also typically had low performance on governance indicators, suggesting challenges in implementing new mitigation. We highlight trade-offs in making decisions for stressor mitigation and offer strategic guidance on identifying locations to target management of marine, land, or climate impacts.","container-title":"Biological Conservation","DOI":"10.1016/j.biocon.2020.108527","ISSN":"0006-3207","journalAbbreviation":"Biological Conservation","language":"en","page":"108527","source":"ScienceDirect","title":"Linking threat maps with management to guide conservation investment","volume":"245","author":[{"family":"Tulloch","given":"Vivitskaia J. D."},{"family":"Turschwell","given":"Mischa P."},{"family":"Giffin","given":"Alyssa L."},{"family":"Halpern","given":"Benjamin S."},{"family":"Connolly","given":"Rod"},{"family":"Griffiths","given":"Laura"},{"family":"Frazer","given":"Melanie"},{"family":"Brown","given":"Christopher J."}],"issued":{"date-parts":[["2020",5,1]]}}}],"schema":"https://github.com/citation-style-language/schema/raw/master/csl-citation.json"}</w:instrText>
      </w:r>
      <w:r>
        <w:fldChar w:fldCharType="separate"/>
      </w:r>
      <w:bookmarkStart w:id="16" w:name="__Fieldmark__320_362668386"/>
      <w:r>
        <w:rPr>
          <w:rFonts w:cs="Calibri"/>
        </w:rPr>
        <w:t>(Tulloch et al., 2020)</w:t>
      </w:r>
      <w:r>
        <w:fldChar w:fldCharType="end"/>
      </w:r>
      <w:bookmarkEnd w:id="16"/>
      <w:r>
        <w:t xml:space="preserve">. The next question, which is equally important yet largely unanswered, </w:t>
      </w:r>
      <w:r>
        <w:t xml:space="preserve">is </w:t>
      </w:r>
      <w:r w:rsidR="00956B47">
        <w:t xml:space="preserve">that </w:t>
      </w:r>
      <w:r>
        <w:t xml:space="preserve">once </w:t>
      </w:r>
      <w:r>
        <w:t xml:space="preserve">land has been selected or acquired for conservation, how should the authority responsible for its management invest finite conservation resources over the next five, ten, thirty, or fifty years to minimise biodiversity loss?  </w:t>
      </w:r>
    </w:p>
    <w:p w14:paraId="599B3256" w14:textId="77777777" w:rsidR="009F2D18" w:rsidRDefault="0089199E">
      <w:r>
        <w:t xml:space="preserve">One of the main challenges associated with assessing future conservation implementation and predicting outcomes is the inherent uncertainty surrounding future conditions </w:t>
      </w:r>
      <w:r>
        <w:fldChar w:fldCharType="begin"/>
      </w:r>
      <w:r>
        <w:instrText>ADDIN ZOTERO_ITEM CSL_CITATION {"citationID":"61KWm7IU","properties":{"formattedCitation":"(McBride et al., 2007)","plainCitation":"(McBride et al., 2007)","noteIndex":0},"citationItems":[{"id":2669,"uris":["http://zotero.org/users/2170232/items/QMAFUJVY"],"uri":["http://zotero.org/users/2170232/items/QMAFUJVY"],"itemData":{"id":2669,"type":"article-journal","abstract":"Abstract: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P."}],"issued":{"date-parts":[["2007"]]}}}],"schema":"https://github.com/citation-style-language/schema/raw/master/csl-citation.json"}</w:instrText>
      </w:r>
      <w:r>
        <w:fldChar w:fldCharType="separate"/>
      </w:r>
      <w:bookmarkStart w:id="17" w:name="__Fieldmark__333_362668386"/>
      <w:r>
        <w:rPr>
          <w:rFonts w:cs="Calibri"/>
        </w:rPr>
        <w:t>(McBride et al., 2007)</w:t>
      </w:r>
      <w:r>
        <w:fldChar w:fldCharType="end"/>
      </w:r>
      <w:bookmarkEnd w:id="17"/>
      <w:r>
        <w:t xml:space="preserve">. Previous studies have investigated the effects of investment uncertainty (transaction uncertainty and performance uncertainty) on the optimal allocation of conservation funds to land acquisition </w:t>
      </w:r>
      <w:r>
        <w:fldChar w:fldCharType="begin"/>
      </w:r>
      <w:r>
        <w:instrText>ADDIN ZOTERO_ITEM CSL_CITATION {"citationID":"xSgimL87","properties":{"formattedCitation":"(McBride et al., 2007)","plainCitation":"(McBride et al., 2007)","noteIndex":0},"citationItems":[{"id":2669,"uris":["http://zotero.org/users/2170232/items/QMAFUJVY"],"uri":["http://zotero.org/users/2170232/items/QMAFUJVY"],"itemData":{"id":2669,"type":"article-journal","abstract":"Abstract: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P."}],"issued":{"date-parts":[["2007"]]}}}],"schema":"https://github.com/citation-style-language/schema/raw/master/csl-citation.json"}</w:instrText>
      </w:r>
      <w:r>
        <w:fldChar w:fldCharType="separate"/>
      </w:r>
      <w:bookmarkStart w:id="18" w:name="__Fieldmark__340_362668386"/>
      <w:r>
        <w:rPr>
          <w:rFonts w:cs="Calibri"/>
        </w:rPr>
        <w:t>(McBride et al., 2007)</w:t>
      </w:r>
      <w:r>
        <w:fldChar w:fldCharType="end"/>
      </w:r>
      <w:bookmarkEnd w:id="18"/>
      <w:r>
        <w:t xml:space="preserve">, and uncertainty surrounding future site conditions (availability and ecological condition) and how this influences the optimal combination of short- and long-term conservation contracts with private landowners </w:t>
      </w:r>
      <w:r>
        <w:fldChar w:fldCharType="begin"/>
      </w:r>
      <w:r>
        <w:instrText>ADDIN ZOTERO_ITEM CSL_CITATION {"citationID":"txBsDzKB","properties":{"formattedCitation":"(Lennox and Armsworth, 2011)","plainCitation":"(Lennox and Armsworth, 2011)","noteIndex":0},"citationItems":[{"id":2687,"uris":["http://zotero.org/users/2170232/items/RHNW9LNX"],"uri":["http://zotero.org/users/2170232/items/RHNW9LNX"],"itemData":{"id":2687,"type":"article-journal","abstract":"Acquisition of land rights has become a primary tool used to protect terrestrial biodiversity. Fixed length contracts are often used when trying to secure conservation benefits on private land in agri-environment schemes and payment for environmental services schemes, but the duration of the conservation contracts used in different programmes varies. To date, very little research has been undertaken to determine the situations in which contracts of differing lengths are optimal or when conservation agencies or groups should use a portfolio of different contract lengths rather than relying on a single type. Using stochastic dynamic programming and related heuristic methods, we investigate how the choice between short or long conservation contracts is affected by uncertainty regarding the future availability of sites and their ecological condition. We also examine the benefits offered by using a portfolio of different contract lengths. Conservation agencies must pay private landowners a premium to secure longer agreements and because of this, shorter contracts are advantageous if sites are likely to remain available for conservation in the future. Long contracts are preferred when future site availability becomes more unlikely. In contrast to uncertainty over site availability, uncertainty over future ecological conditions has little effect on contract selection and only markedly influences the choice between short and long contracts when there is heterogeneity across sites in expected conservation outcomes and future availability of sites is also uncertain. Finally, when future site availability is unlikely, the use of a portfolio of short and long contracts would offer greater conservation gains than using either type in isolation, even though this option is not yet one that is commonly found in conservation practice.","container-title":"Ecological Modelling","DOI":"10.1016/j.ecolmodel.2011.04.033","ISSN":"0304-3800","issue":"15","journalAbbreviation":"Ecological Modelling","language":"en","page":"2856-2866","source":"ScienceDirect","title":"Suitability of short or long conservation contracts under ecological and socio-economic uncertainty","volume":"222","author":[{"family":"Lennox","given":"Gareth D."},{"family":"Armsworth","given":"Paul R."}],"issued":{"date-parts":[["2011",8,10]]}}}],"schema":"https://github.com/citation-style-language/schema/raw/master/csl-citation.json"}</w:instrText>
      </w:r>
      <w:r>
        <w:fldChar w:fldCharType="separate"/>
      </w:r>
      <w:bookmarkStart w:id="19" w:name="__Fieldmark__347_362668386"/>
      <w:r>
        <w:rPr>
          <w:rFonts w:cs="Calibri"/>
        </w:rPr>
        <w:t>(Lennox and Armsworth, 2011)</w:t>
      </w:r>
      <w:r>
        <w:fldChar w:fldCharType="end"/>
      </w:r>
      <w:bookmarkEnd w:id="19"/>
      <w:r>
        <w:t xml:space="preserve">. Yet the uncertainty surrounding changing social-ecological conditions within a single site or landscape over time, and how this may affect biological resources given different investment strategies by the management authority, has yet to be investigated. </w:t>
      </w:r>
    </w:p>
    <w:p w14:paraId="189F2F27" w14:textId="56E040E8" w:rsidR="002D4DF5" w:rsidRDefault="0089199E">
      <w:r>
        <w:t xml:space="preserve">The global human population is increasing, particularly around protected areas and other ecologically rich landscapes </w:t>
      </w:r>
      <w:r>
        <w:fldChar w:fldCharType="begin"/>
      </w:r>
      <w:r>
        <w:instrText>ADDIN ZOTERO_ITEM CSL_CITATION {"citationID":"3FLyxi0w","properties":{"formattedCitation":"(Wittemyer et al., 2008)","plainCitation":"(Wittemyer et al., 2008)","noteIndex":0},"citationItems":[{"id":694,"uris":["http://zotero.org/users/2170232/items/AZHF6NGK"],"uri":["http://zotero.org/users/2170232/items/AZHF6NGK"],"itemData":{"id":694,"type":"article-journal","container-title":"Science","DOI":"10.1126/science.1158900","ISSN":"0036-8075, 1095-9203","issue":"5885","language":"en","page":"123-126","source":"CrossRef","title":"Accelerated Human Population Growth at Protected Area Edges","volume":"321","author":[{"family":"Wittemyer","given":"G."},{"family":"Elsen","given":"P."},{"family":"Bean","given":"W. T."},{"family":"Burton","given":"A. C. O."},{"family":"Brashares","given":"J. S."}],"issued":{"date-parts":[["2008",7,4]]}}}],"schema":"https://github.com/citation-style-language/schema/raw/master/csl-citation.json"}</w:instrText>
      </w:r>
      <w:r>
        <w:fldChar w:fldCharType="separate"/>
      </w:r>
      <w:bookmarkStart w:id="20" w:name="__Fieldmark__357_362668386"/>
      <w:r>
        <w:rPr>
          <w:rFonts w:cs="Calibri"/>
        </w:rPr>
        <w:t>(Wittemyer et al., 2008)</w:t>
      </w:r>
      <w:r>
        <w:fldChar w:fldCharType="end"/>
      </w:r>
      <w:bookmarkEnd w:id="20"/>
      <w:r>
        <w:t xml:space="preserve">, and increasing human populations within these areas increase pressure on natural resources </w:t>
      </w:r>
      <w:r>
        <w:fldChar w:fldCharType="begin"/>
      </w:r>
      <w:r>
        <w:instrText>ADDIN ZOTERO_ITEM CSL_CITATION {"citationID":"6HYlQLBl","properties":{"formattedCitation":"(Lindsey et al., 2014)","plainCitation":"(Lindsey et al., 2014)","noteIndex":0},"citationItems":[{"id":2407,"uris":["http://zotero.org/users/2170232/items/3K5PFYE9"],"uri":["http://zotero.org/users/2170232/items/3K5PFYE9"],"itemData":{"id":2407,"type":"article-journal","abstract":"Many African protected areas (PAs) are not functioning effectively. We reviewed the performance of Zambia’s PA network and provide insights into how their effectiveness might be improved. Zambia’s PAs are under-performing in ecological, economic and social terms. Reasons include: a) rapidly expanding human populations, poverty and open-access systems in Game Management Areas (GMAs) resulting in widespread bushmeat poaching and habitat encroachment; b) underfunding of the Zambia Wildlife Authority (ZAWA) resulting in inadequate law enforcement; c) reliance of ZAWA on extracting revenues from GMAs to cover operational costs which has prevented proper devolution of user-rights over wildlife to communities; d) on-going marginalization of communities from legal benefits from wildlife; e) under-development of the photo-tourism industry with the effect that earnings are limited to a fraction of the PA network; f) unfavourable terms and corruption which discourage good practice and adequate investment by hunting operators in GMAs; g) blurred responsibilities regarding anti-poaching in GMAs resulting in under-investment by all stakeholders. The combined effect of these challenges has been a major reduction in wildlife densities in most PAs and the loss of habitat in GMAs. Wildlife fares better in areas with investment from the private and/or NGO sector and where human settlement is absent. There is a need for: elevated government funding for ZAWA; greater international donor investment in protected area management; a shift in the role of ZAWA such that they focus primarily on national parks while facilitating the development of wildlife-based land uses by other stakeholders elsewhere; and new models for the functioning of GMAs based on joint-ventures between communities and the private and/or NGO sector. Such joint-ventures should provide defined communities with ownership of land, user-rights over wildlife and aim to attract long-term private/donor investment. These recommendations are relevant for many of the under-funded PAs occurring in other African countries.","container-title":"PLOS ONE","DOI":"10.1371/journal.pone.0094109","ISSN":"1932-6203","issue":"5","journalAbbreviation":"PLOS ONE","language":"en","note":"publisher: Public Library of Science","page":"e94109","source":"PLoS Journals","title":"Underperformance of African Protected Area Networks and the Case for New Conservation Models: Insights from Zambia","title-short":"Underperformance of African Protected Area Networks and the Case for New Conservation Models","volume":"9","author":[{"family":"Lindsey","given":"Peter A."},{"family":"Nyirenda","given":"Vincent R."},{"family":"Barnes","given":"Jonathan I."},{"family":"Becker","given":"Matthew S."},{"family":"McRobb","given":"Rachel"},{"family":"Tambling","given":"Craig J."},{"family":"Taylor","given":"W. Andrew"},{"family":"Watson","given":"Frederick G."},{"family":"Rolfes","given":"Michael","non-dropping-particle":"t’Sas-"}],"issued":{"date-parts":[["2014",5,21]]}}}],"schema":"https://github.com/citation-style-language/schema/raw/master/csl-citation.json"}</w:instrText>
      </w:r>
      <w:r>
        <w:fldChar w:fldCharType="separate"/>
      </w:r>
      <w:bookmarkStart w:id="21" w:name="__Fieldmark__362_362668386"/>
      <w:r>
        <w:rPr>
          <w:rFonts w:cs="Calibri"/>
        </w:rPr>
        <w:t>(Lindsey et al., 2014)</w:t>
      </w:r>
      <w:r>
        <w:fldChar w:fldCharType="end"/>
      </w:r>
      <w:bookmarkEnd w:id="21"/>
      <w:r>
        <w:t xml:space="preserve">. Therefore, understanding how </w:t>
      </w:r>
      <w:r w:rsidR="00192C7B">
        <w:t>the funds available to</w:t>
      </w:r>
      <w:r>
        <w:t xml:space="preserve"> landscape managers</w:t>
      </w:r>
      <w:r w:rsidR="00EE07AB">
        <w:t xml:space="preserve"> to invest</w:t>
      </w:r>
      <w:r w:rsidR="00192C7B">
        <w:t xml:space="preserve"> over multi-decadal timeframes</w:t>
      </w:r>
      <w:r>
        <w:t xml:space="preserve"> affect system dynamics in the context of increasing human pressure and uncertainty will be critical for developing strategies that maximise conservation gains.</w:t>
      </w:r>
      <w:r w:rsidR="00C2025A">
        <w:t xml:space="preserve"> </w:t>
      </w:r>
      <w:r w:rsidR="008A02A8">
        <w:t>I am</w:t>
      </w:r>
      <w:r w:rsidR="00C2025A">
        <w:t xml:space="preserve"> not aware of any previous studies that have investigated the</w:t>
      </w:r>
      <w:r w:rsidR="00EE07AB">
        <w:t xml:space="preserve"> effects of funding cycles and consequent investment strategies by managers </w:t>
      </w:r>
      <w:r w:rsidR="00C2025A">
        <w:t>within social-ecological systems.</w:t>
      </w:r>
      <w:r>
        <w:t xml:space="preserve"> Lessons can be learnt from empirical studies that examine past strategies and the subsequent observed outcomes </w:t>
      </w:r>
      <w:r>
        <w:fldChar w:fldCharType="begin"/>
      </w:r>
      <w:r>
        <w:instrText>ADDIN ZOTERO_ITEM CSL_CITATION {"citationID":"sDuRQSVc","properties":{"formattedCitation":"(Santana et al., 2014)","plainCitation":"(Santana et al., 2014)","noteIndex":0},"citationItems":[{"id":2683,"uris":["http://zotero.org/users/2170232/items/TV7JF2Q6"],"uri":["http://zotero.org/users/2170232/items/TV7JF2Q6"],"itemData":{"id":2683,"type":"article-journal","abstract":"Evaluating the effectiveness of conservation funding is crucial for correct allocation of limited resources. Here we used bird monitoring data to assess the effects of long-term conservation investment in a Natura 2000 (N2000) bird protection area (PA), which during two decades benefited from protection regulations, conservation projects, and agri-environment schemes. Variation between 1995–1997 and 2010–2012 in richness and abundance of flagship (Otis tarda, Tetrax tetrax, and Falco naumanni) and specialized fallow field species were more favorable (i.e., increased more or declined less) inside the PA than in a nearby control area. However, the reverse was found for total bird species, farmland, ground-nesting and steppe species, species associated to ploughed fields, and species of European conservation concern. Enhancing the effectiveness of conservation investment in N2000 farmland may require a greater focus on the wider biodiversity alongside that currently devoted to flagship species, as well as improved matching between conservation and agricultural policies.","container-title":"Conservation Letters","DOI":"https://doi.org/10.1111/conl.12077","ISSN":"1755-263X","issue":"5","language":"en","note":"_eprint: https://conbio.onlinelibrary.wiley.com/doi/pdf/10.1111/conl.12077","page":"467-477","source":"Wiley Online Library","title":"Mixed Effects of Long-Term Conservation Investment in Natura 2000 Farmland","volume":"7","author":[{"family":"Santana","given":"Joana"},{"family":"Reino","given":"Luís"},{"family":"Stoate","given":"Chris"},{"family":"Borralho","given":"Rui"},{"family":"Carvalho","given":"Carlos Rio"},{"family":"Schindler","given":"Stefan"},{"family":"Moreira","given":"Francisco"},{"family":"Bugalho","given":"Miguel N."},{"family":"Ribeiro","given":"Paulo Flores"},{"family":"Santos","given":"José Lima"},{"family":"Vaz","given":"Alexandre"},{"family":"Morgado","given":"Rui"},{"family":"Porto","given":"Miguel"},{"family":"Beja","given":"Pedro"}],"issued":{"date-parts":[["2014"]]}}}],"schema":"https://github.com/citation-style-language/schema/raw/master/csl-citation.json"}</w:instrText>
      </w:r>
      <w:r>
        <w:fldChar w:fldCharType="separate"/>
      </w:r>
      <w:bookmarkStart w:id="22" w:name="__Fieldmark__368_362668386"/>
      <w:r>
        <w:rPr>
          <w:rFonts w:cs="Calibri"/>
        </w:rPr>
        <w:t>(Santana et al., 2014)</w:t>
      </w:r>
      <w:r>
        <w:fldChar w:fldCharType="end"/>
      </w:r>
      <w:bookmarkEnd w:id="22"/>
      <w:r>
        <w:t xml:space="preserve">, but using such data to project future social-ecological conditions and system dynamics is at best challenging, and at worst misleading </w:t>
      </w:r>
      <w:r>
        <w:fldChar w:fldCharType="begin"/>
      </w:r>
      <w:r>
        <w:instrText>ADDIN ZOTERO_ITEM CSL_CITATION {"citationID":"igxjOgdi","properties":{"formattedCitation":"(Mouquet et al., 2015)","plainCitation":"(Mouquet et al., 2015)","noteIndex":0},"citationItems":[{"id":2775,"uris":["http://zotero.org/users/2170232/items/J6CK5377"],"uri":["http://zotero.org/users/2170232/items/J6CK5377"],"itemData":{"id":2775,"type":"article-journal","abstract":"In a rapidly changing world, ecology has the potential to move from empirical and conceptual stages to application and management issues. It is now possible to make large-scale predictions up to continental or global scales, ranging from the future distribution of biological diversity to changes in ecosystem functioning and services. With these recent developments, ecology has a historical opportunity to become a major actor in the development of a sustainable human society. With this opportunity, however, also comes an important responsibility in developing appropriate predictive models, correctly interpreting their outcomes and communicating their limitations. There is also a danger that predictions grow faster than our understanding of ecological systems, resulting in a gap between the scientists generating the predictions and stakeholders using them (conservation biologists, environmental managers, journalists, policymakers). Here, we use the context provided by the current surge of ecological predictions on the future of biodiversity to clarify what prediction means, and to pinpoint the challenges that should be addressed in order to improve predictive ecological models and the way they are understood and used. Synthesis and applications. Ecologists face several challenges to ensure the healthy development of an operational predictive ecological science: (i) clarity on the distinction between explanatory and anticipatory predictions; (ii) developing new theories at the interface between explanatory and anticipatory predictions; (iii) open data to test and validate predictions; (iv) making predictions operational; and (v) developing a genuine ethics of prediction.","container-title":"Journal of Applied Ecology","DOI":"10.1111/1365-2664.12482","ISSN":"1365-2664","issue":"5","language":"en","note":"_eprint: https://besjournals.onlinelibrary.wiley.com/doi/pdf/10.1111/1365-2664.12482","page":"1293-1310","source":"Wiley Online Library","title":"REVIEW: Predictive ecology in a changing world","title-short":"REVIEW","volume":"52","author":[{"family":"Mouquet","given":"Nicolas"},{"family":"Lagadeuc","given":"Yvan"},{"family":"Devictor","given":"Vincent"},{"family":"Doyen","given":"Luc"},{"family":"Duputié","given":"Anne"},{"family":"Eveillard","given":"Damien"},{"family":"Faure","given":"Denis"},{"family":"Garnier","given":"Eric"},{"family":"Gimenez","given":"Olivier"},{"family":"Huneman","given":"Philippe"},{"family":"Jabot","given":"Franck"},{"family":"Jarne","given":"Philippe"},{"family":"Joly","given":"Dominique"},{"family":"Julliard","given":"Romain"},{"family":"Kéfi","given":"Sonia"},{"family":"Kergoat","given":"Gael J."},{"family":"Lavorel","given":"Sandra"},{"family":"Gall","given":"Line Le"},{"family":"Meslin","given":"Laurence"},{"family":"Morand","given":"Serge"},{"family":"Morin","given":"Xavier"},{"family":"Morlon","given":"Hélène"},{"family":"Pinay","given":"Gilles"},{"family":"Pradel","given":"Roger"},{"family":"Schurr","given":"Frank M."},{"family":"Thuiller","given":"Wilfried"},{"family":"Loreau","given":"Michel"}],"issued":{"date-parts":[["2015"]]}}}],"schema":"https://github.com/citation-style-language/schema/raw/master/csl-citation.json"}</w:instrText>
      </w:r>
      <w:r>
        <w:fldChar w:fldCharType="separate"/>
      </w:r>
      <w:bookmarkStart w:id="23" w:name="__Fieldmark__380_362668386"/>
      <w:r>
        <w:rPr>
          <w:rFonts w:cs="Calibri"/>
        </w:rPr>
        <w:t>(Mouquet et al., 2015)</w:t>
      </w:r>
      <w:r>
        <w:fldChar w:fldCharType="end"/>
      </w:r>
      <w:bookmarkEnd w:id="23"/>
      <w:r>
        <w:t>. In contrast to empirical studies, simulation modelling offers an analytical environment within which system dynamics can be stress tested without any real-world consequences</w:t>
      </w:r>
      <w:r w:rsidR="003A0878">
        <w:t xml:space="preserve">. </w:t>
      </w:r>
    </w:p>
    <w:p w14:paraId="3B88CE95" w14:textId="52BBCF02" w:rsidR="008A02A8" w:rsidRPr="008A02A8" w:rsidRDefault="00E537F0">
      <w:pPr>
        <w:rPr>
          <w:b/>
          <w:bCs/>
          <w:i/>
          <w:iCs/>
        </w:rPr>
      </w:pPr>
      <w:r>
        <w:rPr>
          <w:b/>
          <w:bCs/>
          <w:i/>
          <w:iCs/>
        </w:rPr>
        <w:t xml:space="preserve">5.2.4. </w:t>
      </w:r>
      <w:r w:rsidR="008A02A8" w:rsidRPr="008A02A8">
        <w:rPr>
          <w:b/>
          <w:bCs/>
          <w:i/>
          <w:iCs/>
        </w:rPr>
        <w:t>Simulation modelling</w:t>
      </w:r>
      <w:r w:rsidR="008A02A8">
        <w:rPr>
          <w:b/>
          <w:bCs/>
          <w:i/>
          <w:iCs/>
        </w:rPr>
        <w:t xml:space="preserve"> for testing social-ecological system dynamics</w:t>
      </w:r>
    </w:p>
    <w:p w14:paraId="2DE09D86" w14:textId="409ACE05" w:rsidR="002D4DF5" w:rsidRDefault="0089199E">
      <w:r>
        <w:t xml:space="preserve">Conservationists have for many years relied on both theory and empirical generalisations to make urgent decisions when appropriate data have been lacking </w:t>
      </w:r>
      <w:r>
        <w:fldChar w:fldCharType="begin"/>
      </w:r>
      <w:r>
        <w:instrText>ADDIN ZOTERO_ITEM CSL_CITATION {"citationID":"RoZodIVA","properties":{"formattedCitation":"(Doak and Mills, 1994)","plainCitation":"(Doak and Mills, 1994)","noteIndex":0},"citationItems":[{"id":2778,"uris":["http://zotero.org/users/2170232/items/8UVTXDKX"],"uri":["http://zotero.org/users/2170232/items/8UVTXDKX"],"itemData":{"id":2778,"type":"article-journal","container-title":"Ecology","DOI":"10.2307/1941720","ISSN":"0012-9658","issue":"3","note":"publisher: Ecological Society of America","page":"615-626","source":"JSTOR","title":"A Useful Role for Theory in Conservation","volume":"75","author":[{"family":"Doak","given":"Daniel F."},{"family":"Mills","given":"L. Scott"}],"issued":{"date-parts":[["1994"]]}}}],"schema":"https://github.com/citation-style-language/schema/raw/master/csl-citation.json"}</w:instrText>
      </w:r>
      <w:r>
        <w:fldChar w:fldCharType="separate"/>
      </w:r>
      <w:bookmarkStart w:id="24" w:name="__Fieldmark__395_362668386"/>
      <w:r>
        <w:rPr>
          <w:rFonts w:cs="Calibri"/>
        </w:rPr>
        <w:t>(</w:t>
      </w:r>
      <w:proofErr w:type="spellStart"/>
      <w:r>
        <w:rPr>
          <w:rFonts w:cs="Calibri"/>
        </w:rPr>
        <w:t>Doak</w:t>
      </w:r>
      <w:proofErr w:type="spellEnd"/>
      <w:r>
        <w:rPr>
          <w:rFonts w:cs="Calibri"/>
        </w:rPr>
        <w:t xml:space="preserve"> and Mills, 1994)</w:t>
      </w:r>
      <w:r>
        <w:fldChar w:fldCharType="end"/>
      </w:r>
      <w:bookmarkEnd w:id="24"/>
      <w:r>
        <w:t xml:space="preserve">. Perhaps borne out of necessity in the past, theoretical models are now seen as important tools for ecologists and </w:t>
      </w:r>
      <w:r>
        <w:lastRenderedPageBreak/>
        <w:t xml:space="preserve">conservation biologists to improve understanding of their study systems </w:t>
      </w:r>
      <w:r>
        <w:fldChar w:fldCharType="begin"/>
      </w:r>
      <w:r>
        <w:instrText>ADDIN ZOTERO_ITEM CSL_CITATION {"citationID":"xN3iqkFy","properties":{"formattedCitation":"(Green et al., 2005)","plainCitation":"(Green et al., 2005)","noteIndex":0},"citationItems":[{"id":2779,"uris":["http://zotero.org/users/2170232/items/RJI7VGH6"],"uri":["http://zotero.org/users/2170232/items/RJI7VGH6"],"itemData":{"id":2779,"type":"article-journal","abstract":"Creative approaches at the interface of ecology, statistics, mathematics, informatics, and computational science are essential for improving our understanding of complex ecological systems. For example, new information technologies, including powerful computers, spatially embedded sensor networks, and Semantic Web tools, are emerging as potentially revolutionary tools for studying ecological phenomena. These technologies can play an important role in developing and testing detailed models that describe real-world systems at multiple scales. Key challenges include choosing the appropriate level of model complexity necessary for understanding biological patterns across space and time, and applying this understanding to solve problems in conservation biology and resource management. Meeting these challenges requires novel statistical and mathematical techniques for distinguishing among alternative ecological theories and hypotheses. Examples from a wide array of research areas in population biology and community ecology highlight the importance of fostering synergistic ties across disciplines for current and future research and application.","container-title":"BioScience","DOI":"10.1641/0006-3568(2005)055[0501:CIEACM]2.0.CO;2","ISSN":"0006-3568","issue":"6","journalAbbreviation":"BioScience","page":"501-510","source":"Silverchair","title":"Complexity in Ecology and Conservation: Mathematical, Statistical, and Computational Challenges","title-short":"Complexity in Ecology and Conservation","volume":"55","author":[{"family":"Green","given":"Jessica L."},{"family":"Hastings","given":"Alan"},{"family":"Arzberger","given":"Peter"},{"family":"Ayala","given":"Francisco J."},{"family":"Cottingham","given":"Kathryn L."},{"family":"Cuddington","given":"Kim"},{"family":"Davis","given":"Frank"},{"family":"Dunne","given":"Jennifer A."},{"family":"Fortin","given":"Marie-Josée"},{"family":"Gerber","given":"Leah"},{"family":"Neubert","given":"Michael"}],"issued":{"date-parts":[["2005",6,1]]}}}],"schema":"https://github.com/citation-style-language/schema/raw/master/csl-citation.json"}</w:instrText>
      </w:r>
      <w:r>
        <w:fldChar w:fldCharType="separate"/>
      </w:r>
      <w:bookmarkStart w:id="25" w:name="__Fieldmark__408_362668386"/>
      <w:r>
        <w:rPr>
          <w:rFonts w:cs="Calibri"/>
        </w:rPr>
        <w:t>(Green et al., 2005)</w:t>
      </w:r>
      <w:r>
        <w:fldChar w:fldCharType="end"/>
      </w:r>
      <w:bookmarkEnd w:id="25"/>
      <w:r>
        <w:t xml:space="preserve">. Mathematical models offer the opportunity to take the well-studied component parts of a complex system and reassemble them in ways that capture their fundamental properties whilst allowing for the interrogation of system dynamics </w:t>
      </w:r>
      <w:r>
        <w:fldChar w:fldCharType="begin"/>
      </w:r>
      <w:r>
        <w:instrText>ADDIN ZOTERO_ITEM CSL_CITATION {"citationID":"ZglHXy3J","properties":{"formattedCitation":"(Wilson, 1999)","plainCitation":"(Wilson, 1999)","noteIndex":0},"citationItems":[{"id":2781,"uris":["http://zotero.org/users/2170232/items/KQ9VXQX5"],"uri":["http://zotero.org/users/2170232/items/KQ9VXQX5"],"itemData":{"id":2781,"type":"book","abstract":"An enormous intellectual adventure. In this groundbreaking new book, the American biologist Edward O. Wilson, considered to be one of the world's greatest living scientists, argues for the fundamental unity of all knowledge and the need to search for consilience--the proof that everything in our world is organized in terms of a small number of fundamental natural laws that comprise the principles underlying every branch of learning. Professor Wilson, the pioneer of sociobiology and biodiversity, now once again breaks out of the conventions of current thinking. He shows how and why our explosive rise in intellectual mastery of the truths of our universe has its roots in the ancient Greek concept of an intrinsic orderliness that governs our cosmos and the human species--a vision that found its apogee in the Age of Enlightenment, then gradually was lost in the increasing fragmentation and specialization of knowledge in the last two centuries. Drawing on the physical sciences and biology, anthropology, psychology, religion, philosophy, and the arts, Professor Wilson shows why the goals of the original Enlightenment are surging back to life, why they are reappearing on the very frontiers of science and humanistic scholarship, and how they are beginning to sketch themselves as the blueprint of our world as it most profoundly, elegantly, and excitingly is.","ISBN":"978-0-679-76867-8","language":"en","number-of-pages":"382","publisher":"Vintage Books","source":"Google Books","title":"Consilience: The Unity of Knowledge","title-short":"Consilience","author":[{"family":"Wilson","given":"Edward O."}],"issued":{"date-parts":[["1999"]]}}}],"schema":"https://github.com/citation-style-language/schema/raw/master/csl-citation.json"}</w:instrText>
      </w:r>
      <w:r>
        <w:fldChar w:fldCharType="separate"/>
      </w:r>
      <w:bookmarkStart w:id="26" w:name="__Fieldmark__418_362668386"/>
      <w:r>
        <w:rPr>
          <w:rFonts w:cs="Calibri"/>
        </w:rPr>
        <w:t>(Wilson, 1999)</w:t>
      </w:r>
      <w:r>
        <w:fldChar w:fldCharType="end"/>
      </w:r>
      <w:bookmarkEnd w:id="26"/>
      <w:r>
        <w:t xml:space="preserve">. Such models require complex systems to be carefully simplified so that </w:t>
      </w:r>
      <w:r w:rsidR="00FD5ED5">
        <w:t>hypotheses</w:t>
      </w:r>
      <w:r>
        <w:t xml:space="preserve"> can be tested within a manageable environment whilst ensuring fundamental processes are honoured. Social-ecological systems (SES) are fundamentally complex, dynamic systems that are characterised by non-linear relationships and feedbacks between multiple social and ecological sub-systems </w:t>
      </w:r>
      <w:r>
        <w:fldChar w:fldCharType="begin"/>
      </w:r>
      <w:r>
        <w:instrText>ADDIN ZOTERO_ITEM CSL_CITATION {"citationID":"uybvQwgt","properties":{"formattedCitation":"(Berkes et al., 2000)","plainCitation":"(Berkes et al., 2000)","noteIndex":0},"citationItems":[{"id":1197,"uris":["http://zotero.org/users/2170232/items/U3KDZYRG"],"uri":["http://zotero.org/users/2170232/items/U3KDZYRG"],"itemData":{"id":1197,"type":"book","publisher":"Cambridge University Press","source":"Google Scholar","title":"Linking social and ecological systems: management practices and social mechanisms for building resilience","title-short":"Linking social and ecological systems","author":[{"family":"Berkes","given":"Fikret"},{"family":"Folke","given":"Carl"},{"family":"Colding","given":"Johan"}],"issued":{"date-parts":[["2000"]]}}}],"schema":"https://github.com/citation-style-language/schema/raw/master/csl-citation.json"}</w:instrText>
      </w:r>
      <w:r>
        <w:fldChar w:fldCharType="separate"/>
      </w:r>
      <w:bookmarkStart w:id="27" w:name="__Fieldmark__467_362668386"/>
      <w:r>
        <w:rPr>
          <w:rFonts w:cs="Calibri"/>
        </w:rPr>
        <w:t>(Berkes et al., 2000)</w:t>
      </w:r>
      <w:r>
        <w:fldChar w:fldCharType="end"/>
      </w:r>
      <w:bookmarkEnd w:id="27"/>
      <w:r>
        <w:t xml:space="preserve">. It is implausible to build a model that captures all components of a SES, and therefore simplified models that simulate the fundamental dynamics are required to test social-ecological theory. Generalised Management Strategy Evaluation (GMSE) is a modelling framework that allows the construction of simplified social-ecological systems that are comprised of four fundamental sub-systems, allowing for a huge variety of theoretical investigations </w:t>
      </w:r>
      <w:r>
        <w:fldChar w:fldCharType="begin"/>
      </w:r>
      <w:r w:rsidR="00721CB0">
        <w:instrText xml:space="preserve"> ADDIN ZOTERO_ITEM CSL_CITATION {"citationID":"lS8fvLgK","properties":{"formattedCitation":"(Bunnefeld et al., 2011; Duthie et al., 2018a)","plainCitation":"(Bunnefeld et al., 2011; Duthie et al., 2018a)","noteIndex":0},"citationItems":[{"id":1012,"uris":["http://zotero.org/users/2170232/items/97HRN4PX"],"uri":["http://zotero.org/users/2170232/items/97HRN4PX"],"itemData":{"id":1012,"type":"article-journal","container-title":"Trends in Ecology &amp; Evolution","DOI":"10.1016/j.tree.2011.05.003","ISSN":"01695347","issue":"9","language":"en","page":"441-447","source":"CrossRef","title":"Management strategy evaluation: a powerful tool for conservation?","title-short":"Management strategy evaluation","volume":"26","author":[{"family":"Bunnefeld","given":"Nils"},{"family":"Hoshino","given":"Eriko"},{"family":"Milner-Gulland","given":"Eleanor J."}],"issued":{"date-parts":[["2011",9]]}}},{"id":2434,"uris":["http://zotero.org/users/2170232/items/FN8CQ3TY"],"uri":["http://zotero.org/users/2170232/items/FN8CQ3TY"],"itemData":{"id":2434,"type":"article-journal","abstract":"Management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fldChar w:fldCharType="separate"/>
      </w:r>
      <w:bookmarkStart w:id="28" w:name="__Fieldmark__477_362668386"/>
      <w:r w:rsidR="00721CB0" w:rsidRPr="00721CB0">
        <w:rPr>
          <w:rFonts w:ascii="Calibri" w:hAnsi="Calibri" w:cs="Calibri"/>
        </w:rPr>
        <w:t>(Bunnefeld et al., 2011; Duthie et al., 2018a)</w:t>
      </w:r>
      <w:r>
        <w:fldChar w:fldCharType="end"/>
      </w:r>
      <w:bookmarkEnd w:id="28"/>
      <w:r>
        <w:t xml:space="preserve">.  </w:t>
      </w:r>
    </w:p>
    <w:p w14:paraId="1D07DF0F" w14:textId="44ADCD32" w:rsidR="002D4DF5" w:rsidRDefault="0089199E">
      <w:r>
        <w:t xml:space="preserve">In this study, </w:t>
      </w:r>
      <w:r w:rsidR="002B0571">
        <w:t>I</w:t>
      </w:r>
      <w:r>
        <w:t xml:space="preserve"> build a widely applicable mechanistic model of a generic conservation landscape and use it to investigate the dynamics between different conservation</w:t>
      </w:r>
      <w:r w:rsidR="002B0571">
        <w:t xml:space="preserve"> funding situations, the resulting</w:t>
      </w:r>
      <w:r>
        <w:t xml:space="preserve"> investment strategies</w:t>
      </w:r>
      <w:r w:rsidR="002B0571">
        <w:t xml:space="preserve"> by landscape managers,</w:t>
      </w:r>
      <w:r>
        <w:t xml:space="preserve"> and forest loss, in the context of increasing human populations over a period of 50 years. </w:t>
      </w:r>
      <w:r w:rsidR="00273E85" w:rsidRPr="00273E85">
        <w:t xml:space="preserve"> </w:t>
      </w:r>
      <w:r w:rsidR="00273E85">
        <w:t xml:space="preserve">We use the GMSE modelling framework </w:t>
      </w:r>
      <w:r w:rsidR="00273E85">
        <w:fldChar w:fldCharType="begin"/>
      </w:r>
      <w:r w:rsidR="00273E85">
        <w:instrText xml:space="preserve"> ADDIN ZOTERO_ITEM CSL_CITATION {"citationID":"jS2YH3ix","properties":{"formattedCitation":"(Duthie et al., 2018a)","plainCitation":"(Duthie et al., 2018a)","noteIndex":0},"citationItems":[{"id":2434,"uris":["http://zotero.org/users/2170232/items/FN8CQ3TY"],"uri":["http://zotero.org/users/2170232/items/FN8CQ3TY"],"itemData":{"id":2434,"type":"article-journal","abstract":"Management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rsidR="00273E85">
        <w:fldChar w:fldCharType="separate"/>
      </w:r>
      <w:bookmarkStart w:id="29" w:name="__Fieldmark__499_362668386"/>
      <w:r w:rsidR="00273E85" w:rsidRPr="00721CB0">
        <w:rPr>
          <w:rFonts w:ascii="Calibri" w:hAnsi="Calibri" w:cs="Calibri"/>
        </w:rPr>
        <w:t>(Duthie et al., 2018a)</w:t>
      </w:r>
      <w:r w:rsidR="00273E85">
        <w:fldChar w:fldCharType="end"/>
      </w:r>
      <w:bookmarkEnd w:id="29"/>
      <w:r w:rsidR="00273E85">
        <w:t xml:space="preserve"> to test the effects of five realistic investment s</w:t>
      </w:r>
      <w:r w:rsidR="002B0571">
        <w:t>trategies</w:t>
      </w:r>
      <w:r w:rsidR="00273E85">
        <w:t xml:space="preserve"> available to the landscape management authority that are designed to reflect real-world conservation funding scenarios: 1) a uniform management budget that does not increase or decrease over the study period, 2) a management budget that increases linearly over time, 3) a management budget that fluctuates in a predictable and regular way, reflecting short-term grant cycles, 4) a management budget that fluctuates randomly and unpredictably, but with only minor variation from the starting value, reflecting a core budget that increases or decreases via short-term grants, and 5) a management budget that fluctuates randomly and unpredictably with high variation from the starting value, reflecting a highly variable budget that has no core quantity, and is therefore entirely governed by short-term grants of varying sizes and durations.</w:t>
      </w:r>
      <w:r w:rsidR="00273E85">
        <w:t xml:space="preserve"> </w:t>
      </w:r>
      <w:r>
        <w:t xml:space="preserve">To disentangle and emphasise potential effects of the different investment strategies on forest loss, we simplify the system so that the actions of the human stakeholders are the only factors influencing forest loss, and we push the investment scenarios to their extremes. This modelling framework is generalised in such a way as to be </w:t>
      </w:r>
      <w:r w:rsidR="00273E85">
        <w:t>applicable</w:t>
      </w:r>
      <w:r>
        <w:t xml:space="preserve"> to landscape managers and conservationists around the world who are reliant on non-linear and unpredictable funding </w:t>
      </w:r>
      <w:r w:rsidR="00273E85">
        <w:t>cycles and</w:t>
      </w:r>
      <w:r>
        <w:t xml:space="preserve"> offers theoretical insights into the consequences of the business-as-usual conservation funding mechanisms.  </w:t>
      </w:r>
    </w:p>
    <w:p w14:paraId="5204F536" w14:textId="4788EC1F" w:rsidR="002D4DF5" w:rsidRDefault="00E537F0">
      <w:pPr>
        <w:rPr>
          <w:b/>
          <w:bCs/>
        </w:rPr>
      </w:pPr>
      <w:r>
        <w:rPr>
          <w:b/>
          <w:bCs/>
        </w:rPr>
        <w:t xml:space="preserve">5.3. </w:t>
      </w:r>
      <w:r w:rsidR="0089199E">
        <w:rPr>
          <w:b/>
          <w:bCs/>
        </w:rPr>
        <w:t>M</w:t>
      </w:r>
      <w:r>
        <w:rPr>
          <w:b/>
          <w:bCs/>
        </w:rPr>
        <w:t>ETHODS</w:t>
      </w:r>
    </w:p>
    <w:p w14:paraId="23400800" w14:textId="3F7E3AD0" w:rsidR="002D4DF5" w:rsidRPr="00E537F0" w:rsidRDefault="00E537F0">
      <w:pPr>
        <w:rPr>
          <w:b/>
          <w:bCs/>
          <w:i/>
          <w:iCs/>
        </w:rPr>
      </w:pPr>
      <w:r w:rsidRPr="00E537F0">
        <w:rPr>
          <w:b/>
          <w:bCs/>
          <w:i/>
          <w:iCs/>
        </w:rPr>
        <w:t xml:space="preserve">5.3.1. </w:t>
      </w:r>
      <w:r w:rsidR="0089199E" w:rsidRPr="00E537F0">
        <w:rPr>
          <w:b/>
          <w:bCs/>
          <w:i/>
          <w:iCs/>
        </w:rPr>
        <w:t>GMSE</w:t>
      </w:r>
    </w:p>
    <w:p w14:paraId="415CE87F" w14:textId="3D82A6BB" w:rsidR="00511EA0" w:rsidRDefault="0089199E">
      <w:r>
        <w:t xml:space="preserve">GMSE is designed to simulate dynamic decision-making by stakeholders in a social-ecological system </w:t>
      </w:r>
      <w:r>
        <w:fldChar w:fldCharType="begin"/>
      </w:r>
      <w:r w:rsidR="00721CB0">
        <w:instrText xml:space="preserve"> ADDIN ZOTERO_ITEM CSL_CITATION {"citationID":"TgQfJKpd","properties":{"formattedCitation":"(Duthie et al., 2018a)","plainCitation":"(Duthie et al., 2018a)","noteIndex":0},"citationItems":[{"id":2434,"uris":["http://zotero.org/users/2170232/items/FN8CQ3TY"],"uri":["http://zotero.org/users/2170232/items/FN8CQ3TY"],"itemData":{"id":2434,"type":"article-journal","abstract":"Management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fldChar w:fldCharType="separate"/>
      </w:r>
      <w:bookmarkStart w:id="30" w:name="__Fieldmark__518_362668386"/>
      <w:r w:rsidR="00721CB0" w:rsidRPr="00721CB0">
        <w:rPr>
          <w:rFonts w:ascii="Calibri" w:hAnsi="Calibri" w:cs="Calibri"/>
        </w:rPr>
        <w:t>(Duthie et al., 2018a)</w:t>
      </w:r>
      <w:r>
        <w:fldChar w:fldCharType="end"/>
      </w:r>
      <w:bookmarkEnd w:id="30"/>
      <w:r>
        <w:t xml:space="preserve">. The stakeholders are a) the “manager” who represents an appropriate authority, for example a protected area manager or a natural resource manager, and b) the “users” who represent independent actors such as farmers or hunters. Additionally, there is a natural “resource” population, for example animals or trees, that requires management. In each simulation, the manager is attempting to get the resource population as close to a pre-determined value as possible, and the users are trying to maximise their utility on the landscape. Simulations in GMSE are comprised of four </w:t>
      </w:r>
      <w:proofErr w:type="spellStart"/>
      <w:r>
        <w:t>submodels</w:t>
      </w:r>
      <w:proofErr w:type="spellEnd"/>
      <w:r>
        <w:t xml:space="preserve"> that govern the social-ecological system, each of which can be individually parameterised (Figure </w:t>
      </w:r>
      <w:r w:rsidR="00420BFE">
        <w:t>5.</w:t>
      </w:r>
      <w:r>
        <w:t>1).</w:t>
      </w:r>
      <w:r w:rsidR="00BC3488">
        <w:t xml:space="preserve"> The individual actors (manager, users, resources) are </w:t>
      </w:r>
      <w:r w:rsidR="00BC3488">
        <w:t>discrete</w:t>
      </w:r>
      <w:r w:rsidR="00280900">
        <w:t>,</w:t>
      </w:r>
      <w:r w:rsidR="00BC3488">
        <w:t xml:space="preserve"> </w:t>
      </w:r>
      <w:r w:rsidR="00BC3488">
        <w:t xml:space="preserve">and events </w:t>
      </w:r>
      <w:r w:rsidR="00511EA0">
        <w:t>i</w:t>
      </w:r>
      <w:r w:rsidR="00BC3488">
        <w:t>n the landscape are probabilistic, thus introducing stochasticity.</w:t>
      </w:r>
      <w:r>
        <w:t xml:space="preserve"> </w:t>
      </w:r>
    </w:p>
    <w:p w14:paraId="6A7FAF08" w14:textId="4C9C5B41" w:rsidR="002D4DF5" w:rsidRDefault="0089199E">
      <w:r>
        <w:lastRenderedPageBreak/>
        <w:t xml:space="preserve">The </w:t>
      </w:r>
      <w:proofErr w:type="spellStart"/>
      <w:r>
        <w:t>submodels</w:t>
      </w:r>
      <w:proofErr w:type="spellEnd"/>
      <w:r>
        <w:t xml:space="preserve"> are (1) the natural resource model, which is used to simulate the biological population within the system. The natural resource model can simulate complex spatially explicit biological populations that have individual traits such as age, and population-level traits such as carrying capacity and related density-dependent mortality</w:t>
      </w:r>
      <w:r w:rsidR="00BC3488">
        <w:t>.</w:t>
      </w:r>
      <w:r>
        <w:t xml:space="preserve"> (2) The observation model represents the observation process, and the associated error, whereby the manager estimates the size of the natural resource population. The manager sets policy based on the estimates rather than the actual population size, thus introducing uncertainty that exists in the real world</w:t>
      </w:r>
      <w:r w:rsidR="00BC3488">
        <w:t>.</w:t>
      </w:r>
      <w:r>
        <w:t xml:space="preserve"> (3) The manager model uses the genetic algorithm (GA, see below) to develop management policies that attempt to reduce deviation of the natural resource population from the target population size. The manager achieves this by dynamically altering the cost of actions for the users thereby increasing or decreasing the ability of the users to act on the resources. (4) The user model, in which after the manager has set the policy, each user calls the GA to develop a strategy for that time step that maximises their utility (e.g., maximises their yield) given the constraints imposed by the manager. Users can choose to act on the natural resources (e.g., cull or scare), which can affect the resource population (e.g., if they choose to cull) or</w:t>
      </w:r>
      <w:r w:rsidR="000E292C">
        <w:t xml:space="preserve"> resources on</w:t>
      </w:r>
      <w:r>
        <w:t xml:space="preserve"> the landscape cell (e.g., if they choose to scare, forcing </w:t>
      </w:r>
      <w:r w:rsidR="000E292C">
        <w:t xml:space="preserve">some </w:t>
      </w:r>
      <w:r>
        <w:t xml:space="preserve">resources onto another cell). These changes then feed into the natural resource </w:t>
      </w:r>
      <w:proofErr w:type="spellStart"/>
      <w:r>
        <w:t>submodel</w:t>
      </w:r>
      <w:proofErr w:type="spellEnd"/>
      <w:r>
        <w:t xml:space="preserve"> in the next time step. For detailed explanations of the </w:t>
      </w:r>
      <w:proofErr w:type="spellStart"/>
      <w:r>
        <w:t>submodels</w:t>
      </w:r>
      <w:proofErr w:type="spellEnd"/>
      <w:r>
        <w:t>, see Duthie et al (2018) and the documentation for the GMSE R package.</w:t>
      </w:r>
    </w:p>
    <w:p w14:paraId="3F6AA73D" w14:textId="44583DDE" w:rsidR="002D4DF5" w:rsidRDefault="0089199E">
      <w:r>
        <w:t xml:space="preserve">The primary approach to altering system dynamics is via the manager and user budgets. </w:t>
      </w:r>
      <w:r w:rsidR="00BC3488">
        <w:t xml:space="preserve">The relative power between the manager and the </w:t>
      </w:r>
      <w:r w:rsidR="00BC3488">
        <w:t xml:space="preserve">users is </w:t>
      </w:r>
      <w:r w:rsidR="00387B24">
        <w:t xml:space="preserve">largely </w:t>
      </w:r>
      <w:r w:rsidR="00BC3488">
        <w:t xml:space="preserve">driven </w:t>
      </w:r>
      <w:r w:rsidR="00BC3488">
        <w:t>by the relative budgets that each actor has access to</w:t>
      </w:r>
      <w:r>
        <w:t xml:space="preserve">. Generally, when the manager has a high relative budget, they have a greater ability to set policies that will influence the resource population in the desired way. For example, if the resource population is below the target, a manager with a relatively high budget can increase the costs of culling for the users, thus reducing the users’ ability to cull, and in turn allowing the resource population to recover. Conversely, if users have a relatively high budget, then they are more likely to be able to afford to take actions such as culling, even if the manager is setting the costs of such actions as high as possible. The budgets, and the associated dynamics, can be used to replicate various real-world systems and scenarios such as conservation conflicts, power dynamics, and lobbying </w:t>
      </w:r>
      <w:r>
        <w:fldChar w:fldCharType="begin"/>
      </w:r>
      <w:r w:rsidR="00721CB0">
        <w:instrText xml:space="preserve"> ADDIN ZOTERO_ITEM CSL_CITATION {"citationID":"XLzJ5OTq","properties":{"formattedCitation":"(Cusack et al., 2020; Duthie et al., 2018a; Nilsson et al., 2021)","plainCitation":"(Cusack et al., 2020; Duthie et al., 2018a; Nilsson et al., 2021)","noteIndex":0},"citationItems":[{"id":2764,"uris":["http://zotero.org/users/2170232/items/PBSK2TTB"],"uri":["http://zotero.org/users/2170232/items/PBSK2TTB"],"itemData":{"id":2764,"type":"article-journal","abstract":"Cusack, J. J., A. B. Duthie, J. Minderman, I. L. Jones, R. A. Pozo, O. S. Rakotonarivo, S. Redpath, and N. Bunnefeld. 2020. Integrating conflict, lobbying, and compliance to predict the sustainability of natural resource use. Ecology and Society 25(2):13. https://doi.org/10.5751/ES-11552-250213","container-title":"Ecology and Society","DOI":"10.5751/ES-11552-250213","ISSN":"1708-3087","issue":"2","language":"en","note":"publisher: The Resilience Alliance","source":"www.ecologyandsociety.org","title":"Integrating conflict, lobbying, and compliance to predict the sustainability of natural resource use","URL":"https://www.ecologyandsociety.org/vol25/iss2/art13/","volume":"25","author":[{"family":"Cusack","given":"Jeremy"},{"family":"Duthie","given":"A."},{"family":"Minderman","given":"Jeroen"},{"family":"Jones","given":"Isabel"},{"family":"Pozo","given":"Rocío"},{"family":"Rakotonarivo","given":"O."},{"family":"Redpath","given":"Steve"},{"family":"Bunnefeld","given":"Nils"}],"accessed":{"date-parts":[["2021",8,25]]},"issued":{"date-parts":[["2020",5,7]]}}},{"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Van"},{"family":"Bunnefeld","given":"Nils"}],"issued":{"date-parts":[["2018"]]}}},{"id":2859,"uris":["http://zotero.org/users/2170232/items/9DI9I24X"],"uri":["http://zotero.org/users/2170232/items/9DI9I24X"],"itemData":{"id":2859,"type":"article-journal","abstract":"Conflicts between opposing objectives of wildlife conservation and agriculture are increasing globally due to rising human food production and competition with wildlife over land use. Conservation conflicts are often complex and driven by variability and uncertainty in wildlife distribution and stakeholder wealth and power. To manage conflicts, empowering local stakeholders by decentralizing decisions and actions has been suggested to promote democratization and awareness of stakeholders. There is, however, a current gap in the understanding of how stakeholder empowerment (e.g., farmers’ and managers’ practical, time or monetary resources) affects policy effectiveness. In this study, we apply an individual-based model of management strategy evaluation to simulate the conservation conflict surrounding protected and thriving common cranes (Grus grus) causing damage to agricultural production in Sweden and along the European flyways. We model the effect of farmer empowerment (i.e., increasing budgets to affect populations and agricultural production) in four management scenarios, in which we manipulate the availability and cost of two actions farmers may take in response to crane presence on their land: non-lethal (scaring) or lethal (culling) control. We find that lower budgets lead to increases in population size due to increased use of less costly scaring instead of shooting. Higher farmer budgets lead to increased population extinction risk. Intermediate budgets allow farmers to control the population size around the management target and limit impact on agricultural production to intermediate levels. Our study highlights that stakeholder empowerment and culling strategies based on the number of stakeholders, and particularly their power to implement effective actions, needs careful consideration and monitoring when setting management targets and strategies. Further, our results show that empowering individual farmers has the potential to contribute to conflict management and to balance agricultural with conservation objectives, but increased stakeholder involvement also requires careful planning and monitoring.","container-title":"Ecological Modelling","DOI":"10.1016/j.ecolmodel.2020.109396","ISSN":"0304-3800","journalAbbreviation":"Ecological Modelling","language":"en","page":"109396","source":"ScienceDirect","title":"Effects of stakeholder empowerment on crane population and agricultural production","volume":"440","author":[{"family":"Nilsson","given":"L."},{"family":"Bunnefeld","given":"N."},{"family":"Minderman","given":"J."},{"family":"Duthie","given":"A. B"}],"issued":{"date-parts":[["2021",1,15]]}}}],"schema":"https://github.com/citation-style-language/schema/raw/master/csl-citation.json"} </w:instrText>
      </w:r>
      <w:r>
        <w:fldChar w:fldCharType="separate"/>
      </w:r>
      <w:bookmarkStart w:id="31" w:name="__Fieldmark__538_362668386"/>
      <w:r w:rsidR="00721CB0" w:rsidRPr="00721CB0">
        <w:rPr>
          <w:rFonts w:ascii="Calibri" w:hAnsi="Calibri" w:cs="Calibri"/>
        </w:rPr>
        <w:t>(Cusack et al., 2020; Duthie et al., 2018a; Nilsson et al., 2021)</w:t>
      </w:r>
      <w:r>
        <w:fldChar w:fldCharType="end"/>
      </w:r>
      <w:bookmarkEnd w:id="31"/>
      <w:r>
        <w:t xml:space="preserve">. </w:t>
      </w:r>
    </w:p>
    <w:p w14:paraId="799EA71F" w14:textId="18E6ED89" w:rsidR="002D4DF5" w:rsidRPr="00E537F0" w:rsidRDefault="00E537F0">
      <w:pPr>
        <w:rPr>
          <w:b/>
          <w:bCs/>
        </w:rPr>
      </w:pPr>
      <w:r w:rsidRPr="00E537F0">
        <w:rPr>
          <w:b/>
          <w:bCs/>
          <w:i/>
          <w:iCs/>
        </w:rPr>
        <w:t xml:space="preserve">5.3.2. </w:t>
      </w:r>
      <w:r w:rsidR="0089199E" w:rsidRPr="00E537F0">
        <w:rPr>
          <w:b/>
          <w:bCs/>
          <w:i/>
          <w:iCs/>
        </w:rPr>
        <w:t>Genetic algorithm (GA)</w:t>
      </w:r>
    </w:p>
    <w:p w14:paraId="195406C1" w14:textId="30FE0073" w:rsidR="009C2BD9" w:rsidRDefault="0089199E">
      <w:r>
        <w:t>The GA is the process</w:t>
      </w:r>
      <w:r w:rsidR="00892B3A">
        <w:t xml:space="preserve"> that mimics human decision-making, and</w:t>
      </w:r>
      <w:r>
        <w:t xml:space="preserve"> </w:t>
      </w:r>
      <w:r w:rsidR="00892B3A">
        <w:t>through</w:t>
      </w:r>
      <w:r>
        <w:t xml:space="preserve"> which the manager develops policy and users decide upon actions. The GA</w:t>
      </w:r>
      <w:r w:rsidR="00892B3A">
        <w:t xml:space="preserve"> is called once for each decision-making actor on the landscape (the manager and </w:t>
      </w:r>
      <w:r w:rsidR="00892B3A">
        <w:rPr>
          <w:i/>
          <w:iCs/>
        </w:rPr>
        <w:t>n</w:t>
      </w:r>
      <w:r w:rsidR="00892B3A">
        <w:t xml:space="preserve"> users) </w:t>
      </w:r>
      <w:r w:rsidR="008D6134">
        <w:t>in</w:t>
      </w:r>
      <w:r w:rsidR="00892B3A">
        <w:t xml:space="preserve"> each time step. Each call to the GA results in a policy decision (for the manager) or an action decision (for each user).</w:t>
      </w:r>
      <w:r>
        <w:t xml:space="preserve"> </w:t>
      </w:r>
      <w:r w:rsidR="008D6134">
        <w:t>Final m</w:t>
      </w:r>
      <w:r w:rsidR="00892B3A">
        <w:t>anager and user strategies are selected within each call of the GA through a process that mimics</w:t>
      </w:r>
      <w:r>
        <w:t xml:space="preserve"> </w:t>
      </w:r>
      <w:r w:rsidR="00892B3A">
        <w:t>evolution by</w:t>
      </w:r>
      <w:r>
        <w:t xml:space="preserve"> natural selection</w:t>
      </w:r>
      <w:r w:rsidR="008D6134">
        <w:t xml:space="preserve"> </w:t>
      </w:r>
      <w:r w:rsidR="008D6134">
        <w:fldChar w:fldCharType="begin"/>
      </w:r>
      <w:r w:rsidR="00721CB0">
        <w:instrText xml:space="preserve"> ADDIN ZOTERO_ITEM CSL_CITATION {"citationID":"LDTAJOes","properties":{"formattedCitation":"(Duthie et al., 2018b; Hamblin, 2013)","plainCitation":"(Duthie et al., 2018b; Hamblin, 2013)","noteIndex":0},"citationItems":[{"id":2863,"uris":["http://zotero.org/users/2170232/items/GKFBYVE3"],"uri":["http://zotero.org/users/2170232/items/GKFBYVE3"],"itemData":{"id":2863,"type":"article-journal","container-title":"Methods in Ecology and Evolution","issue":"12","title":"Supporting Information 1 from Duthie et al. 2018. The genetic algorithm of GMSE","volume":"9","author":[{"family":"Duthie","given":"A. Bradley"},{"family":"Cusack","given":"Jeremy J."},{"family":"Jones","given":"Isabel L."},{"family":"Minderman","given":"J."},{"family":"Nilsen","given":"Erlend B."},{"family":"Pozo","given":"Rocío A."},{"family":"Rakotonarivo","given":"O. Sarobidy"},{"family":"Van Moorter","given":"Bram"},{"family":"Bunnefeld","given":"Nils"}],"issued":{"date-parts":[["2018"]]}}},{"id":2861,"uris":["http://zotero.org/users/2170232/items/74GG4XJ9"],"uri":["http://zotero.org/users/2170232/items/74GG4XJ9"],"itemData":{"id":2861,"type":"article-journal","abstract":"Genetic algorithms are a heuristic global optimisation technique mimicking the action of natural selection to solve hard optimisation problems, which has enjoyed growing usage in evolution and ecology. However, there is little standardisation in how genetic algorithms are implemented in these fields and even less practical advice for those hoping to implement genetic algorithms for their own models. This article aims to demystify genetic algorithms and provide assistance to researchers; basic programming knowledge is important for working with genetic algorithms, but none is required to read this article. I review the basics of genetic algorithm methodology and provide suggestions on problems that may or may not benefit from genetic algorithm methods. The genetic operators (selection, replacement, mutation, crossover) and their rate parameters (mutation rate, etc.) are a source of potential confusion and to ease their selection, I present recommendations informed by historical usage and best practices, concluding with potential pitfalls. Good reasons for employing genetic algorithms include: solving optimisation problems beyond the reach of analytical techniques, relaxing model assumptions, evolving behaviour in individual-based models, and simulating co-evolutionary processes. However, genetic algorithms are not always the correct technique to use. Simpler methods may sometimes outperform genetic algorithms, and certain problem features may cause trouble. Genetic algorithms strike a balance between exploration of the search space and exploitation of good solutions, driven by the choice of genetic operators and rate parameters. I outline a basic set of parameter values and operator choices for genetic algorithm models as a starting point and provide advice on how to modify them to explore the exploitation/exploration trade-off. Finally, I provide general advice on analysis and reporting of these models. There are a number of potential issues that can surprise unwary users, such as rate parameter values that lead to pathological outcomes; I suggest ways to detect and correct these problems. Also, contrary to popular usage, genetic algorithms can find solutions to game theory problems but cannot guarantee their stability. Finally, while genetic algorithms offer great power and flexibility by drawing inspiration from evolutionary processes, they are (usually) not a faithful model of genetics or evolution.","container-title":"Methods in Ecology and Evolution","DOI":"10.1111/2041-210X.12000","ISSN":"2041-210X","issue":"2","language":"en","note":"_eprint: https://onlinelibrary.wiley.com/doi/pdf/10.1111/2041-210X.12000","page":"184-194","source":"Wiley Online Library","title":"On the practical usage of genetic algorithms in ecology and evolution","volume":"4","author":[{"family":"Hamblin","given":"Steven"}],"issued":{"date-parts":[["2013"]]}}}],"schema":"https://github.com/citation-style-language/schema/raw/master/csl-citation.json"} </w:instrText>
      </w:r>
      <w:r w:rsidR="008D6134">
        <w:fldChar w:fldCharType="separate"/>
      </w:r>
      <w:r w:rsidR="00721CB0" w:rsidRPr="00721CB0">
        <w:rPr>
          <w:rFonts w:ascii="Calibri" w:hAnsi="Calibri" w:cs="Calibri"/>
        </w:rPr>
        <w:t>(Duthie et al., 2018b; Hamblin, 2013)</w:t>
      </w:r>
      <w:r w:rsidR="008D6134">
        <w:fldChar w:fldCharType="end"/>
      </w:r>
      <w:r w:rsidR="00892B3A">
        <w:t xml:space="preserve">. </w:t>
      </w:r>
      <w:r w:rsidR="00A30475">
        <w:t>E</w:t>
      </w:r>
      <w:r w:rsidR="00892B3A">
        <w:t>ach GA call</w:t>
      </w:r>
      <w:r w:rsidR="00A30475">
        <w:t xml:space="preserve"> comprises multiple iterations (Figure </w:t>
      </w:r>
      <w:r w:rsidR="00420BFE">
        <w:t>5.</w:t>
      </w:r>
      <w:r w:rsidR="00A30475">
        <w:t>1). The first iteration initialises many</w:t>
      </w:r>
      <w:r>
        <w:t xml:space="preserve"> possible strategies</w:t>
      </w:r>
      <w:r w:rsidR="00A30475">
        <w:t>, followed by a process of</w:t>
      </w:r>
      <w:r>
        <w:t xml:space="preserve"> cross-over and mutation</w:t>
      </w:r>
      <w:r w:rsidR="00B5006E">
        <w:t xml:space="preserve"> (mixing of strategies, and generation of alternate strategies)</w:t>
      </w:r>
      <w:r>
        <w:t xml:space="preserve"> between the initialised strategies, ensuring that budgets are not exceeded. </w:t>
      </w:r>
      <w:r w:rsidR="00A30475">
        <w:t>High fitness s</w:t>
      </w:r>
      <w:r>
        <w:t xml:space="preserve">trategies </w:t>
      </w:r>
      <w:r w:rsidR="00A30475">
        <w:t>are</w:t>
      </w:r>
      <w:r>
        <w:t xml:space="preserve"> selected via a fitness function and a tournament</w:t>
      </w:r>
      <w:r w:rsidR="00A30475">
        <w:t>, and the resulting strategies form the</w:t>
      </w:r>
      <w:r w:rsidR="008D6134">
        <w:t xml:space="preserve"> starting layers of the next iteration</w:t>
      </w:r>
      <w:r w:rsidR="00721CB0">
        <w:t>, where the process is repeated</w:t>
      </w:r>
      <w:r>
        <w:t>.</w:t>
      </w:r>
      <w:r w:rsidR="008D6134">
        <w:t xml:space="preserve"> </w:t>
      </w:r>
      <w:r w:rsidR="0082158D">
        <w:t xml:space="preserve">The fitness functions for manger and users </w:t>
      </w:r>
      <w:r w:rsidR="00C77F8E">
        <w:t>rank different strategies based on their predicted effect on the resource population (for the manager), and</w:t>
      </w:r>
      <w:r w:rsidR="009C2BD9">
        <w:t xml:space="preserve"> an individual’s</w:t>
      </w:r>
      <w:r w:rsidR="00C77F8E">
        <w:t xml:space="preserve"> landscape yield (for the users).</w:t>
      </w:r>
      <w:r w:rsidR="0082158D">
        <w:t xml:space="preserve"> </w:t>
      </w:r>
    </w:p>
    <w:p w14:paraId="567E59E7" w14:textId="1B835B58" w:rsidR="002D4DF5" w:rsidRDefault="008D6134">
      <w:r>
        <w:t>The process continues until a minimum number of iterations has been run and a convergence criterion is met</w:t>
      </w:r>
      <w:r w:rsidR="00721CB0">
        <w:t xml:space="preserve"> </w:t>
      </w:r>
      <w:r w:rsidR="00721CB0">
        <w:fldChar w:fldCharType="begin"/>
      </w:r>
      <w:r w:rsidR="00721CB0">
        <w:instrText xml:space="preserve"> ADDIN ZOTERO_ITEM CSL_CITATION {"citationID":"5Xlnxpdn","properties":{"formattedCitation":"(Duthie et al., 2018b)","plainCitation":"(Duthie et al., 2018b)","noteIndex":0},"citationItems":[{"id":2863,"uris":["http://zotero.org/users/2170232/items/GKFBYVE3"],"uri":["http://zotero.org/users/2170232/items/GKFBYVE3"],"itemData":{"id":2863,"type":"article-journal","container-title":"Methods in Ecology and Evolution","issue":"12","title":"Supporting Information 1 from Duthie et al. 2018. The genetic algorithm of GMSE","volume":"9","author":[{"family":"Duthie","given":"A. Bradley"},{"family":"Cusack","given":"Jeremy J."},{"family":"Jones","given":"Isabel L."},{"family":"Minderman","given":"J."},{"family":"Nilsen","given":"Erlend B."},{"family":"Pozo","given":"Rocío A."},{"family":"Rakotonarivo","given":"O. Sarobidy"},{"family":"Van Moorter","given":"Bram"},{"family":"Bunnefeld","given":"Nils"}],"issued":{"date-parts":[["2018"]]}}}],"schema":"https://github.com/citation-style-language/schema/raw/master/csl-citation.json"} </w:instrText>
      </w:r>
      <w:r w:rsidR="00721CB0">
        <w:fldChar w:fldCharType="separate"/>
      </w:r>
      <w:r w:rsidR="00721CB0" w:rsidRPr="00721CB0">
        <w:rPr>
          <w:rFonts w:ascii="Calibri" w:hAnsi="Calibri" w:cs="Calibri"/>
        </w:rPr>
        <w:t>(Duthie et al., 2018b)</w:t>
      </w:r>
      <w:r w:rsidR="00721CB0">
        <w:fldChar w:fldCharType="end"/>
      </w:r>
      <w:r>
        <w:t>.</w:t>
      </w:r>
      <w:r w:rsidR="0089199E">
        <w:t xml:space="preserve"> This process results in adaptive, but not necessarily optimal, strategies for the manager and the users. The GA takes the manager’s budget constraints, user </w:t>
      </w:r>
      <w:r w:rsidR="0089199E">
        <w:lastRenderedPageBreak/>
        <w:t>action histories, and the predicted consequences of each action on the resource population and</w:t>
      </w:r>
      <w:r w:rsidR="00721CB0">
        <w:t xml:space="preserve"> uses the process described above to</w:t>
      </w:r>
      <w:r w:rsidR="0089199E">
        <w:t xml:space="preserve"> develop a strategy for the manager to reduce deviation from the target resource population size. Once the manager’s policy is established, users will individually call the GA to decide upon actions that maximise their utility (e.g., agricultural yield). Users can choose from several options depending on the parameters set by the researcher. These include tending their crops or acting on the natural resources (e.g., cull, scare), all of which will have some effect on their yield. Their ability to act on the natural resource is governed by both the user budget, and the manager’s policy, in each time step</w:t>
      </w:r>
      <w:r w:rsidR="00721CB0">
        <w:t xml:space="preserve">. </w:t>
      </w:r>
    </w:p>
    <w:p w14:paraId="663157E0" w14:textId="77777777" w:rsidR="003517F0" w:rsidRDefault="003517F0"/>
    <w:p w14:paraId="484BE6AF" w14:textId="5AF950F5" w:rsidR="002D4DF5" w:rsidRDefault="00B82ABF">
      <w:pPr>
        <w:rPr>
          <w:i/>
          <w:iCs/>
        </w:rPr>
      </w:pPr>
      <w:r>
        <w:rPr>
          <w:noProof/>
        </w:rPr>
        <w:drawing>
          <wp:inline distT="0" distB="0" distL="0" distR="0" wp14:anchorId="29A3BA2C" wp14:editId="26192268">
            <wp:extent cx="3961032" cy="3571336"/>
            <wp:effectExtent l="0" t="0" r="190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3970511" cy="3579883"/>
                    </a:xfrm>
                    <a:prstGeom prst="rect">
                      <a:avLst/>
                    </a:prstGeom>
                  </pic:spPr>
                </pic:pic>
              </a:graphicData>
            </a:graphic>
          </wp:inline>
        </w:drawing>
      </w:r>
    </w:p>
    <w:p w14:paraId="22DD9367" w14:textId="50FF8976" w:rsidR="002D4DF5" w:rsidRPr="00F30A4A" w:rsidRDefault="0089199E">
      <w:pPr>
        <w:rPr>
          <w:b/>
          <w:bCs/>
        </w:rPr>
      </w:pPr>
      <w:r w:rsidRPr="00F30A4A">
        <w:rPr>
          <w:b/>
          <w:bCs/>
        </w:rPr>
        <w:t xml:space="preserve">Figure </w:t>
      </w:r>
      <w:r w:rsidR="00F30A4A" w:rsidRPr="00F30A4A">
        <w:rPr>
          <w:b/>
          <w:bCs/>
        </w:rPr>
        <w:t>5.</w:t>
      </w:r>
      <w:r w:rsidRPr="00F30A4A">
        <w:rPr>
          <w:b/>
          <w:bCs/>
        </w:rPr>
        <w:t xml:space="preserve">1. </w:t>
      </w:r>
      <w:bookmarkStart w:id="32" w:name="_Hlk95543462"/>
      <w:r w:rsidRPr="00F30A4A">
        <w:rPr>
          <w:b/>
          <w:bCs/>
        </w:rPr>
        <w:t xml:space="preserve">Conceptual flow diagram showing the four </w:t>
      </w:r>
      <w:proofErr w:type="spellStart"/>
      <w:r w:rsidRPr="00F30A4A">
        <w:rPr>
          <w:b/>
          <w:bCs/>
        </w:rPr>
        <w:t>submodels</w:t>
      </w:r>
      <w:proofErr w:type="spellEnd"/>
      <w:r w:rsidRPr="00F30A4A">
        <w:rPr>
          <w:b/>
          <w:bCs/>
        </w:rPr>
        <w:t xml:space="preserve"> and the genetic algorithm, and how they interact in a single time step in GMSE. </w:t>
      </w:r>
      <w:bookmarkEnd w:id="32"/>
      <w:r w:rsidR="00B82ABF" w:rsidRPr="00F30A4A">
        <w:rPr>
          <w:b/>
          <w:bCs/>
        </w:rPr>
        <w:t xml:space="preserve">Adapted </w:t>
      </w:r>
      <w:r w:rsidRPr="00F30A4A">
        <w:rPr>
          <w:b/>
          <w:bCs/>
        </w:rPr>
        <w:t>from Duthie et al., (2018).</w:t>
      </w:r>
    </w:p>
    <w:p w14:paraId="296CA95E" w14:textId="77777777" w:rsidR="002D4DF5" w:rsidRDefault="002D4DF5">
      <w:pPr>
        <w:rPr>
          <w:b/>
          <w:bCs/>
          <w:sz w:val="18"/>
          <w:szCs w:val="18"/>
        </w:rPr>
      </w:pPr>
    </w:p>
    <w:p w14:paraId="48AA318C" w14:textId="1F04511E" w:rsidR="002D4DF5" w:rsidRPr="00E537F0" w:rsidRDefault="00E537F0">
      <w:pPr>
        <w:rPr>
          <w:b/>
          <w:bCs/>
          <w:i/>
          <w:iCs/>
        </w:rPr>
      </w:pPr>
      <w:r w:rsidRPr="00E537F0">
        <w:rPr>
          <w:b/>
          <w:bCs/>
          <w:i/>
          <w:iCs/>
        </w:rPr>
        <w:t xml:space="preserve">5.3.3. </w:t>
      </w:r>
      <w:r w:rsidR="0089199E" w:rsidRPr="00E537F0">
        <w:rPr>
          <w:b/>
          <w:bCs/>
          <w:i/>
          <w:iCs/>
        </w:rPr>
        <w:t>Model parameterisation</w:t>
      </w:r>
    </w:p>
    <w:p w14:paraId="443B9CC1" w14:textId="1171F2A3" w:rsidR="002D4DF5" w:rsidRPr="00E537F0" w:rsidRDefault="00E537F0">
      <w:pPr>
        <w:rPr>
          <w:i/>
          <w:iCs/>
        </w:rPr>
      </w:pPr>
      <w:r w:rsidRPr="00E537F0">
        <w:rPr>
          <w:i/>
          <w:iCs/>
        </w:rPr>
        <w:t xml:space="preserve">5.3.3.1. </w:t>
      </w:r>
      <w:r w:rsidR="0089199E" w:rsidRPr="00E537F0">
        <w:rPr>
          <w:i/>
          <w:iCs/>
        </w:rPr>
        <w:t>Landscape</w:t>
      </w:r>
    </w:p>
    <w:p w14:paraId="3DF96A3C" w14:textId="08E67B6F" w:rsidR="002D4DF5" w:rsidRDefault="0089199E">
      <w:r>
        <w:t xml:space="preserve">In this study, we have used the GMSE modelling framework to explore the effects of different investment strategies and funding models available to a conservation manager on forest resources, in the context of finite funds and increasing anthropogenic pressure caused by an increasing human population. We simulated a forested landscape of 100 </w:t>
      </w:r>
      <w:r>
        <w:rPr>
          <w:rFonts w:cstheme="minorHAnsi"/>
        </w:rPr>
        <w:t>×</w:t>
      </w:r>
      <w:r>
        <w:t xml:space="preserve"> 100 cells, where we assumed one cell was equivalent to 1 hectare, resulting in a landscape of 10,000 ha (or 100 km</w:t>
      </w:r>
      <w:r>
        <w:rPr>
          <w:vertAlign w:val="superscript"/>
        </w:rPr>
        <w:t>2</w:t>
      </w:r>
      <w:r>
        <w:t xml:space="preserve">). We allocated 30 “users” to the landscape, which in this case represented 30 villages or communities, each of which had an </w:t>
      </w:r>
      <w:r w:rsidR="003517F0">
        <w:t xml:space="preserve">approximately </w:t>
      </w:r>
      <w:r>
        <w:t>equal area of spatially explicit land upon which they could act. This resulted in each village having approximately 333 ha (3.33 km</w:t>
      </w:r>
      <w:r>
        <w:rPr>
          <w:vertAlign w:val="superscript"/>
        </w:rPr>
        <w:t>2</w:t>
      </w:r>
      <w:r>
        <w:t xml:space="preserve">) of land. We assumed the users represented agricultural communities whose primary livelihood is farming. We simulated scenarios over </w:t>
      </w:r>
      <w:proofErr w:type="gramStart"/>
      <w:r>
        <w:t>50 time</w:t>
      </w:r>
      <w:proofErr w:type="gramEnd"/>
      <w:r>
        <w:t xml:space="preserve"> steps, which we assumed represented 50 years. </w:t>
      </w:r>
    </w:p>
    <w:p w14:paraId="246D5CA3" w14:textId="2DC9C578" w:rsidR="002D4DF5" w:rsidRPr="00E537F0" w:rsidRDefault="00E537F0">
      <w:pPr>
        <w:rPr>
          <w:i/>
          <w:iCs/>
        </w:rPr>
      </w:pPr>
      <w:r>
        <w:rPr>
          <w:i/>
          <w:iCs/>
        </w:rPr>
        <w:lastRenderedPageBreak/>
        <w:t xml:space="preserve">5.3.3.2. </w:t>
      </w:r>
      <w:r w:rsidR="0089199E" w:rsidRPr="00E537F0">
        <w:rPr>
          <w:i/>
          <w:iCs/>
        </w:rPr>
        <w:t xml:space="preserve">Resource population </w:t>
      </w:r>
    </w:p>
    <w:p w14:paraId="0C542AC1" w14:textId="77777777" w:rsidR="009C2BD9" w:rsidRDefault="0089199E">
      <w:r>
        <w:t>The flexibility of GMSE allows for the biological resource to represent a population of a wide range of taxa. In this study</w:t>
      </w:r>
      <w:r w:rsidR="000E292C">
        <w:t>,</w:t>
      </w:r>
      <w:r>
        <w:t xml:space="preserve"> we assumed the resources were trees, that the manager’s goal was to protect as many trees as possible from being felled (i.e., maintain the resource population at the starting value), and that the users were able to increase their agricultural yield by felling trees on their land. We tested the landscape with a tree density that was realistic for a tropical forested landscape (50 trees ha</w:t>
      </w:r>
      <w:r>
        <w:rPr>
          <w:vertAlign w:val="superscript"/>
        </w:rPr>
        <w:t>-1</w:t>
      </w:r>
      <w:r>
        <w:t xml:space="preserve">, n = 1,125,000), but because the number of users on the landscape was relatively low, due to each user representing a community rather than an individual farmer, the absolute number of trees felled was too low to see clear differences between scenarios. We therefore reduced the total number of trees to 100,000 to ensure trends in felling were clear to see. </w:t>
      </w:r>
    </w:p>
    <w:p w14:paraId="12878EB7" w14:textId="4793CE0A" w:rsidR="002D4DF5" w:rsidRDefault="0089199E">
      <w:r>
        <w:t>Trees were randomly distributed across the landscape</w:t>
      </w:r>
      <w:r w:rsidR="00B82ABF">
        <w:t xml:space="preserve"> (with multiple trees allowed on any given cell)</w:t>
      </w:r>
      <w:r>
        <w:t xml:space="preserve">, reflecting natural variation. The population dynamics of trees is difficult to capture over a 50-year </w:t>
      </w:r>
      <w:proofErr w:type="gramStart"/>
      <w:r>
        <w:t>time period</w:t>
      </w:r>
      <w:proofErr w:type="gramEnd"/>
      <w:r>
        <w:t xml:space="preserve"> due to slow growth and recruitment relative to animals. Furthermore, we wanted to eliminate any “noise” around the deforestation signal so that the only driver of forest loss was the effect of user actions on the trees. Therefore, we removed the effects of natural recruitment or natural deaths (density-dependent and density-independent), resulting in a static population (excluding the effects of the users). If trees were present on a landscape cell, they reduced the agricultural yield that could be harvested by the user. Each tree reduced the cell’s yield by</w:t>
      </w:r>
      <w:r w:rsidR="009143EA">
        <w:t xml:space="preserve"> </w:t>
      </w:r>
      <m:oMath>
        <m:sSub>
          <m:sSubPr>
            <m:ctrlPr>
              <w:rPr>
                <w:rFonts w:ascii="Cambria Math" w:hAnsi="Cambria Math"/>
                <w:i/>
              </w:rPr>
            </m:ctrlPr>
          </m:sSubPr>
          <m:e>
            <m:r>
              <w:rPr>
                <w:rFonts w:ascii="Cambria Math" w:hAnsi="Cambria Math"/>
              </w:rPr>
              <m:t>Y</m:t>
            </m:r>
          </m:e>
          <m:sub>
            <m:r>
              <w:rPr>
                <w:rFonts w:ascii="Cambria Math" w:hAnsi="Cambria Math"/>
              </w:rPr>
              <m:t>r</m:t>
            </m:r>
          </m:sub>
        </m:sSub>
      </m:oMath>
      <w:r w:rsidR="009143EA" w:rsidRPr="009143EA">
        <w:t xml:space="preserve"> =</w:t>
      </w:r>
      <w:r>
        <w:t xml:space="preserve"> 8%, with the cumulative reduction in yield governed by the exponential function:</w:t>
      </w:r>
    </w:p>
    <w:p w14:paraId="757AD07A" w14:textId="2ABC61EA" w:rsidR="002D4DF5" w:rsidRDefault="0089199E">
      <m:oMath>
        <m:r>
          <w:rPr>
            <w:rFonts w:ascii="Cambria Math" w:hAnsi="Cambria Math"/>
          </w:rPr>
          <m:t>y=</m:t>
        </m:r>
        <m:sSup>
          <m:sSupPr>
            <m:ctrlPr>
              <w:rPr>
                <w:rFonts w:ascii="Cambria Math" w:hAnsi="Cambria Math"/>
              </w:rPr>
            </m:ctrlPr>
          </m:sSupPr>
          <m:e>
            <m:d>
              <m:dPr>
                <m:ctrlPr>
                  <w:rPr>
                    <w:rFonts w:ascii="Cambria Math" w:hAnsi="Cambria Math"/>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r</m:t>
                    </m:r>
                  </m:sub>
                </m:sSub>
              </m:e>
            </m:d>
          </m:e>
          <m:sup>
            <m:sSub>
              <m:sSubPr>
                <m:ctrlPr>
                  <w:rPr>
                    <w:rFonts w:ascii="Cambria Math" w:hAnsi="Cambria Math"/>
                    <w:i/>
                  </w:rPr>
                </m:ctrlPr>
              </m:sSubPr>
              <m:e>
                <m:r>
                  <w:rPr>
                    <w:rFonts w:ascii="Cambria Math" w:hAnsi="Cambria Math"/>
                  </w:rPr>
                  <m:t>R</m:t>
                </m:r>
              </m:e>
              <m:sub>
                <m:r>
                  <w:rPr>
                    <w:rFonts w:ascii="Cambria Math" w:hAnsi="Cambria Math"/>
                  </w:rPr>
                  <m:t>T</m:t>
                </m:r>
              </m:sub>
            </m:sSub>
          </m:sup>
        </m:sSup>
      </m:oMath>
      <w:r>
        <w:t xml:space="preserve"> </w:t>
      </w:r>
    </w:p>
    <w:p w14:paraId="039CDBE6" w14:textId="32702F0F" w:rsidR="002D4DF5" w:rsidRDefault="0089199E">
      <w:r>
        <w:t xml:space="preserve">Where </w:t>
      </w:r>
      <m:oMath>
        <m:r>
          <w:rPr>
            <w:rFonts w:ascii="Cambria Math" w:hAnsi="Cambria Math"/>
          </w:rPr>
          <m:t>y</m:t>
        </m:r>
      </m:oMath>
      <w:r>
        <w:t xml:space="preserve"> is the yield of the cell when trees are present</w:t>
      </w:r>
      <w:r w:rsidR="009143EA">
        <w:t xml:space="preserve"> </w:t>
      </w:r>
      <w:r>
        <w:t xml:space="preserve">and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is the number of trees remaining on the </w:t>
      </w:r>
      <w:proofErr w:type="gramStart"/>
      <w:r>
        <w:t>cell.</w:t>
      </w:r>
      <w:proofErr w:type="gramEnd"/>
      <w:r>
        <w:t xml:space="preserve"> Therefore, if there are 50 trees on a given cell, the cell’s yield is 1.5% of the total possible yield. If there are 25 trees remaining on a given cell then the cell’s yield increases to 12.4%, and so on. </w:t>
      </w:r>
    </w:p>
    <w:p w14:paraId="33ACB888" w14:textId="1CF906B7" w:rsidR="002D4DF5" w:rsidRPr="00E537F0" w:rsidRDefault="00E537F0">
      <w:pPr>
        <w:rPr>
          <w:i/>
          <w:iCs/>
        </w:rPr>
      </w:pPr>
      <w:r>
        <w:rPr>
          <w:i/>
          <w:iCs/>
        </w:rPr>
        <w:t xml:space="preserve">5.3.3.3. </w:t>
      </w:r>
      <w:r w:rsidR="0089199E" w:rsidRPr="00E537F0">
        <w:rPr>
          <w:i/>
          <w:iCs/>
        </w:rPr>
        <w:t>Users</w:t>
      </w:r>
    </w:p>
    <w:p w14:paraId="4FED18C4" w14:textId="77777777" w:rsidR="009C2BD9" w:rsidRDefault="0089199E">
      <w:r>
        <w:t>GMSE allows for each user to represent an individual actor or agent, who makes decisions about their actions based on individual circumstances. However, the number of users on a landscape cannot be changed during a simulation, and so to simulate increasing human populations we assumed that each user represented a village or community rather than an individual. We assumed that a population increase in a real-world community would result in increased human and financial resources, and increased demand for land (e.g., for housing and agriculture). These combined effects would increase the community’s desire and ability to clear forest land. This allowed us to employ the user budget to simulate population increases. The user budget is the primary parameter that governs a user’s ability to take actions, such as felling trees. Therefore, a user budget that increases during the simulation represents an increase in the user’s power to act, thus simulating population increases</w:t>
      </w:r>
      <w:r w:rsidR="00B82ABF">
        <w:t xml:space="preserve">. </w:t>
      </w:r>
    </w:p>
    <w:p w14:paraId="0430192B" w14:textId="6BCC6AE7" w:rsidR="002D4DF5" w:rsidRDefault="0089199E">
      <w:r>
        <w:t>The only actions the users were permitted to take were 1) tend crops, and 2) fell trees. The decision about which action to take in each time step was governed by trade-offs in cost versus benefit (computed within the GA</w:t>
      </w:r>
      <w:r w:rsidR="003517F0">
        <w:t>, see above</w:t>
      </w:r>
      <w:r>
        <w:t xml:space="preserve">). The parameter </w:t>
      </w:r>
      <w:r w:rsidR="009143EA">
        <w:t>that</w:t>
      </w:r>
      <w:r>
        <w:t xml:space="preserve"> defined how much a user could increase their yield by tending their crops was set to 0.01 (1%). This contrasts with the parameter governing the yield reduction for a single tree (8%, see section above). Different ranges of these parameters were tested for sensitivity (Supporting Information Figures S</w:t>
      </w:r>
      <w:r w:rsidR="00420BFE">
        <w:t>5.</w:t>
      </w:r>
      <w:r>
        <w:t>1 to S</w:t>
      </w:r>
      <w:r w:rsidR="00420BFE">
        <w:t>5.4</w:t>
      </w:r>
      <w:r>
        <w:t xml:space="preserve">), with the final values chosen to deliberately ensure that felling trees would have a much higher positive effect on yield than simply tending crops. This was both to reflect the fact that in the real world expanding agricultural </w:t>
      </w:r>
      <w:r>
        <w:lastRenderedPageBreak/>
        <w:t>area will generally increase yield more than tending existing agricultural land, and to simulate strong exogenous drivers of deforestation that are found around the world, particularly in the tropics (</w:t>
      </w:r>
      <w:proofErr w:type="spellStart"/>
      <w:r>
        <w:t>Ceddia</w:t>
      </w:r>
      <w:proofErr w:type="spellEnd"/>
      <w:r>
        <w:t xml:space="preserve"> 2019, Davis et al 2015). </w:t>
      </w:r>
    </w:p>
    <w:p w14:paraId="44423F58" w14:textId="447813A0" w:rsidR="002D4DF5" w:rsidRPr="00F01069" w:rsidRDefault="00F01069">
      <w:pPr>
        <w:rPr>
          <w:i/>
          <w:iCs/>
        </w:rPr>
      </w:pPr>
      <w:r>
        <w:rPr>
          <w:i/>
          <w:iCs/>
        </w:rPr>
        <w:t xml:space="preserve">5.3.3.4. </w:t>
      </w:r>
      <w:r w:rsidR="0089199E" w:rsidRPr="00F01069">
        <w:rPr>
          <w:i/>
          <w:iCs/>
        </w:rPr>
        <w:t>Manager</w:t>
      </w:r>
    </w:p>
    <w:p w14:paraId="7233BF3C" w14:textId="77777777" w:rsidR="009C2BD9" w:rsidRDefault="0089199E">
      <w:r>
        <w:t>In our study, the manager represents a person or organisation that has a remit to conserve forest land and the authority to set and implement policy that affects the ability of users to take actions. We set the resource population target (which the manager tries to maintain) at the same value as the starting number of trees, and because there was no natural tree regeneration (natural population increase), the manager’s goal is to reduce forest loss as much as possible in every time step. These parameters were set to simulate a conservation landscape in which there is pressure on forest resources, and authorities are trying to eliminate, or reduce as much as possible, forest loss. This could, for example, represent a protected area</w:t>
      </w:r>
      <w:r w:rsidR="009143EA">
        <w:t>,</w:t>
      </w:r>
      <w:r>
        <w:t xml:space="preserve"> which contains both forest and local communities. </w:t>
      </w:r>
    </w:p>
    <w:p w14:paraId="3C84D9B4" w14:textId="55DBF430" w:rsidR="002D4DF5" w:rsidRDefault="0089199E">
      <w:r>
        <w:t xml:space="preserve">In each time step, the manager called the GA and identified a policy, which was reflected in the cost for users to fell trees, that attempted to reduce forest loss as much as possible. We assumed the manager’s budget reflected the actual budget of the authority, and could represent a monetary budget, available non-monetary resources (e.g., law enforcement resources), or a combination of these. In each of the different scenarios, the manager’s budget varied according to the funding scenario we were simulating. We assumed that the manager achieved perfect detection of resources, so there was no error associated with the observation </w:t>
      </w:r>
      <w:proofErr w:type="spellStart"/>
      <w:r>
        <w:t>submodel</w:t>
      </w:r>
      <w:proofErr w:type="spellEnd"/>
      <w:r>
        <w:t xml:space="preserve">. This was to keep the simulations as simple as possible. In the age of free, high resolution satellite imagery that is available every few weeks, it is plausible that </w:t>
      </w:r>
      <w:r w:rsidR="003517F0">
        <w:t>a</w:t>
      </w:r>
      <w:r>
        <w:t xml:space="preserve"> manager has near-perfect deforestation detection over a landscape. </w:t>
      </w:r>
    </w:p>
    <w:p w14:paraId="4FA093D9" w14:textId="1BB0E6BD" w:rsidR="002D4DF5" w:rsidRPr="00F01069" w:rsidRDefault="00F01069">
      <w:pPr>
        <w:rPr>
          <w:b/>
          <w:bCs/>
          <w:i/>
          <w:iCs/>
        </w:rPr>
      </w:pPr>
      <w:r w:rsidRPr="00F01069">
        <w:rPr>
          <w:b/>
          <w:bCs/>
          <w:i/>
          <w:iCs/>
        </w:rPr>
        <w:t xml:space="preserve">5.3.4. </w:t>
      </w:r>
      <w:r w:rsidR="0089199E" w:rsidRPr="00F01069">
        <w:rPr>
          <w:b/>
          <w:bCs/>
          <w:i/>
          <w:iCs/>
        </w:rPr>
        <w:t xml:space="preserve">Scenarios </w:t>
      </w:r>
    </w:p>
    <w:p w14:paraId="125FB169" w14:textId="4B7EDF3A" w:rsidR="009C2BD9" w:rsidRDefault="0089199E">
      <w:r>
        <w:t xml:space="preserve">We designed 5 scenarios with dynamic manager budgets that simulated different funding regimes that a manager or authority with responsibility over a conservation landscape may encounter in the real world (Table </w:t>
      </w:r>
      <w:r w:rsidR="00420BFE">
        <w:t>5.</w:t>
      </w:r>
      <w:r>
        <w:t xml:space="preserve">1, Figure </w:t>
      </w:r>
      <w:r w:rsidR="00420BFE">
        <w:t>5.</w:t>
      </w:r>
      <w:r>
        <w:t>2). Scenarios 1 to 3 aimed to test three primary funding models and scenarios 4 and 5 aimed to test the effects of uncertainty and variability in funding. Before running the final 5 scenarios we tested several null scenarios to ensure the landscape was operating as expected (Supporting Information, figures S</w:t>
      </w:r>
      <w:r w:rsidR="00420BFE">
        <w:t>5.5</w:t>
      </w:r>
      <w:r>
        <w:t xml:space="preserve"> to S</w:t>
      </w:r>
      <w:r w:rsidR="00420BFE">
        <w:t>5.7</w:t>
      </w:r>
      <w:r>
        <w:t>). Due to the nature of the GA (i.e., identifying one out of multiple possible near-optimal solutions), and that each actor on the landscape calls the GA in each time step, stochasticity in decision-making is explicitly built into the simulations. Therefore, each simulation was run 100 times to quantify variation in results. The manager budget, user budget, number of felling actions, the cost of felling actions, and the number of trees remaining at each time step were extracted for each replicate simulation. For each parameter, the 50, 2.5, and 97.5% percentiles across all replicates were calculated and used to represent the me</w:t>
      </w:r>
      <w:r w:rsidR="00B82ABF">
        <w:t>dian</w:t>
      </w:r>
      <w:r>
        <w:t xml:space="preserve"> and lower and upper confidence intervals, respectively. </w:t>
      </w:r>
    </w:p>
    <w:p w14:paraId="5E54D448" w14:textId="75DA1E4C" w:rsidR="002D4DF5" w:rsidRDefault="0089199E">
      <w:r>
        <w:t xml:space="preserve">For all scenarios, we ensured that the total cumulative budget for the manager was equal across all scenarios (Table </w:t>
      </w:r>
      <w:r w:rsidR="00D247E2">
        <w:t>5.</w:t>
      </w:r>
      <w:r>
        <w:t>1). This was to eliminate the possibility of one scenario outperforming another simply because the manager had access to a greater total budget over the simulation period. In all scenarios</w:t>
      </w:r>
      <w:r w:rsidR="00793FF2">
        <w:t>,</w:t>
      </w:r>
      <w:r>
        <w:t xml:space="preserve"> we assumed the same level of human population increase over time, and so for each scenario the user budget increases linearly with the same starting point and slope (Table </w:t>
      </w:r>
      <w:r w:rsidR="00420BFE">
        <w:t>5.</w:t>
      </w:r>
      <w:r>
        <w:t xml:space="preserve">1, Figure </w:t>
      </w:r>
      <w:r w:rsidR="00420BFE">
        <w:t>5.</w:t>
      </w:r>
      <w:r>
        <w:t xml:space="preserve">2). The absolute values for the user budget are arbitrary and can be set in such a way as to meet the objectives of the study. We tested various starting values and slopes for the user budget, </w:t>
      </w:r>
      <w:r>
        <w:lastRenderedPageBreak/>
        <w:t xml:space="preserve">increasing the parameter values until the absolute number of trees felled was sufficient to see clear differences between scenarios. </w:t>
      </w:r>
    </w:p>
    <w:p w14:paraId="7760AFEF" w14:textId="48C2857C" w:rsidR="002D4DF5" w:rsidRDefault="0089199E">
      <w:r>
        <w:t xml:space="preserve">The manager and user budgets are not equal nor necessarily proportional, as they are used in very different ways </w:t>
      </w:r>
      <w:r>
        <w:fldChar w:fldCharType="begin"/>
      </w:r>
      <w:r w:rsidR="00721CB0">
        <w:instrText xml:space="preserve"> ADDIN ZOTERO_ITEM CSL_CITATION {"citationID":"UrrHIflh","properties":{"formattedCitation":"(Duthie et al., 2018a)","plainCitation":"(Duthie et al., 2018a)","noteIndex":0},"citationItems":[{"id":2434,"uris":["http://zotero.org/users/2170232/items/FN8CQ3TY"],"uri":["http://zotero.org/users/2170232/items/FN8CQ3TY"],"itemData":{"id":2434,"type":"article-journal","abstract":"Management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fldChar w:fldCharType="separate"/>
      </w:r>
      <w:bookmarkStart w:id="33" w:name="__Fieldmark__610_362668386"/>
      <w:r w:rsidR="00721CB0" w:rsidRPr="00721CB0">
        <w:rPr>
          <w:rFonts w:ascii="Calibri" w:hAnsi="Calibri" w:cs="Calibri"/>
        </w:rPr>
        <w:t>(Duthie et al., 2018a)</w:t>
      </w:r>
      <w:r>
        <w:fldChar w:fldCharType="end"/>
      </w:r>
      <w:bookmarkEnd w:id="33"/>
      <w:r>
        <w:t xml:space="preserve">. Therefore, equal budgets do not necessarily equate to equal power to affect the system. The differences in manager and user budgets relative to each other is what governs the differences and changes in power to affect the system. It is important to recognise the incomparability between the absolute values of the manager and user budgets, and therefore to differentiate the two parameters in this study we will refer to the user budget as “community resources”. </w:t>
      </w:r>
    </w:p>
    <w:p w14:paraId="534A6599" w14:textId="77777777" w:rsidR="002D4DF5" w:rsidRDefault="0089199E">
      <w:r>
        <w:t xml:space="preserve">All simulations were conducted using the R package GMSE (Duthie et al 2018, v0.6.2.0), and all associated analyses described below were conducted in R </w:t>
      </w:r>
      <w:r>
        <w:fldChar w:fldCharType="begin"/>
      </w:r>
      <w:r>
        <w:instrText>ADDIN ZOTERO_ITEM CSL_CITATION {"citationID":"fQN23mFN","properties":{"formattedCitation":"(R Core Team, 2021)","plainCitation":"(R Core Team, 2021)","dontUpdate":true,"noteIndex":0},"citationItems":[{"id":2766,"uris":["http://zotero.org/users/2170232/items/Q57ZB3Z5"],"uri":["http://zotero.org/users/2170232/items/Q57ZB3Z5"],"itemData":{"id":2766,"type":"book","event-place":"Vienna, Austria","publisher":"R Foundation for Statistical Computing","publisher-place":"Vienna, Austria","title":"R: A language and environment for statistical computing","version":"4.0.4","author":[{"family":"R Core Team","given":""}],"issued":{"date-parts":[["2021"]]}}}],"schema":"https://github.com/citation-style-language/schema/raw/master/csl-citation.json"}</w:instrText>
      </w:r>
      <w:r>
        <w:fldChar w:fldCharType="separate"/>
      </w:r>
      <w:bookmarkStart w:id="34" w:name="__Fieldmark__617_362668386"/>
      <w:r>
        <w:rPr>
          <w:rFonts w:cs="Calibri"/>
        </w:rPr>
        <w:t>(v4.0.4, R Core Team, 2021)</w:t>
      </w:r>
      <w:r>
        <w:fldChar w:fldCharType="end"/>
      </w:r>
      <w:bookmarkEnd w:id="34"/>
      <w:r>
        <w:t xml:space="preserve">. Relevant parameter values used in the simulations can be seen in the Supporting Information (section 3). </w:t>
      </w:r>
    </w:p>
    <w:p w14:paraId="68288F7F" w14:textId="4E40A33C" w:rsidR="002D4DF5" w:rsidRPr="00F01069" w:rsidRDefault="00F01069">
      <w:pPr>
        <w:rPr>
          <w:i/>
          <w:iCs/>
        </w:rPr>
      </w:pPr>
      <w:r>
        <w:rPr>
          <w:i/>
          <w:iCs/>
        </w:rPr>
        <w:t xml:space="preserve">5.3.4.1. </w:t>
      </w:r>
      <w:r w:rsidR="0089199E" w:rsidRPr="00F01069">
        <w:rPr>
          <w:i/>
          <w:iCs/>
        </w:rPr>
        <w:t>Scenario 1</w:t>
      </w:r>
    </w:p>
    <w:p w14:paraId="7715F112" w14:textId="45491F11" w:rsidR="002D4DF5" w:rsidRDefault="0089199E">
      <w:r>
        <w:t xml:space="preserve">This scenario assumed that the manager budget does not change over the simulation period (Figure </w:t>
      </w:r>
      <w:r w:rsidR="00420BFE">
        <w:t>5.</w:t>
      </w:r>
      <w:r>
        <w:t xml:space="preserve">2). This scenario was designed to represent a conservation landscape in which the authority has a regular and predictable budget over time with which to invest in policy, but one which does not increase or decrease in response to changing threats or grant cycles. This scenario could represent a government-funded landscape which has a finite but regular budget that is not reliant on short-term grants. </w:t>
      </w:r>
    </w:p>
    <w:p w14:paraId="1FCE3BFF" w14:textId="289A9A40" w:rsidR="002D4DF5" w:rsidRPr="00F01069" w:rsidRDefault="00F01069">
      <w:pPr>
        <w:rPr>
          <w:i/>
          <w:iCs/>
        </w:rPr>
      </w:pPr>
      <w:r>
        <w:rPr>
          <w:i/>
          <w:iCs/>
        </w:rPr>
        <w:t xml:space="preserve">5.3.4.2. </w:t>
      </w:r>
      <w:r w:rsidR="0089199E" w:rsidRPr="00F01069">
        <w:rPr>
          <w:i/>
          <w:iCs/>
        </w:rPr>
        <w:t>Scenario 2</w:t>
      </w:r>
    </w:p>
    <w:p w14:paraId="45E0743D" w14:textId="19B79D5F" w:rsidR="002D4DF5" w:rsidRDefault="0089199E">
      <w:r>
        <w:t xml:space="preserve">This scenario assumed that the budget available to the manager starts low but increases with increasing pressure on the landscape (Figure </w:t>
      </w:r>
      <w:r w:rsidR="00D247E2">
        <w:t>5.</w:t>
      </w:r>
      <w:r>
        <w:t>2). This scenario could represent a statutory authority in a conservation landscape in which the authority is provided regular and predictable budget increases with which to invest in policy. In this scenario the management authority is not reliant on short-term grants. The shape of the manager budget (starting point, slope) was calculated to ensure that the total cumulative budget was equal to the other scenarios</w:t>
      </w:r>
      <w:r w:rsidR="00B8415A">
        <w:t xml:space="preserve"> (Table </w:t>
      </w:r>
      <w:r w:rsidR="00D247E2">
        <w:t>5.</w:t>
      </w:r>
      <w:r w:rsidR="00B8415A">
        <w:t>1)</w:t>
      </w:r>
      <w:r>
        <w:t>.</w:t>
      </w:r>
    </w:p>
    <w:p w14:paraId="4ED81064" w14:textId="5D3A6716" w:rsidR="002D4DF5" w:rsidRPr="00F01069" w:rsidRDefault="00F01069">
      <w:pPr>
        <w:rPr>
          <w:i/>
          <w:iCs/>
        </w:rPr>
      </w:pPr>
      <w:r>
        <w:rPr>
          <w:i/>
          <w:iCs/>
        </w:rPr>
        <w:t xml:space="preserve">5.3.4.3. </w:t>
      </w:r>
      <w:r w:rsidR="0089199E" w:rsidRPr="00F01069">
        <w:rPr>
          <w:i/>
          <w:iCs/>
        </w:rPr>
        <w:t>Scenario 3</w:t>
      </w:r>
    </w:p>
    <w:p w14:paraId="75573C90" w14:textId="106070A3" w:rsidR="005E13B1" w:rsidRDefault="0089199E">
      <w:r>
        <w:t xml:space="preserve">This scenario assumed that the budget available to the manager increases and decreases in a regular and predictable way, regardless of the changing pressure on the landscape (Figure </w:t>
      </w:r>
      <w:r w:rsidR="00D247E2">
        <w:t>5.</w:t>
      </w:r>
      <w:r>
        <w:t>2). This scenario was designed to replicate a conservation landscape in which the management authority is reliant on regular grant cycles. The scenario assumes that the authority conducts successful fundraising at regular intervals, and thus has a varying yet predictable budget with which to invest in policy implementation. The cycle length (i.e., the wavelength) is approximately 5 years, reflecting larger grants that are often provided by statutory funding agencies or international bodies. These large, longer-term grants require a high investment in staff time to apply for, and high administrative capacity to manage once implemented, and so are generally won by large, international organisations, government agencies, or collaborations between such partners, where the required resources already exist. To simulate this funding cycle, we produced a sine wave of the form:</w:t>
      </w:r>
    </w:p>
    <w:p w14:paraId="71FE0A91" w14:textId="67DC1EB0" w:rsidR="002D4DF5" w:rsidRPr="00407D32" w:rsidRDefault="00793FF2">
      <m:oMathPara>
        <m:oMathParaPr>
          <m:jc m:val="center"/>
        </m:oMathParaPr>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=350×sin</m:t>
          </m:r>
          <m:d>
            <m:dPr>
              <m:ctrlPr>
                <w:rPr>
                  <w:rFonts w:ascii="Cambria Math" w:hAnsi="Cambria Math"/>
                </w:rPr>
              </m:ctrlPr>
            </m:dPr>
            <m:e>
              <m:r>
                <w:rPr>
                  <w:rFonts w:ascii="Cambria Math" w:hAnsi="Cambria Math"/>
                </w:rPr>
                <m:t>0.5t</m:t>
              </m:r>
            </m:e>
          </m:d>
          <m:r>
            <w:rPr>
              <w:rFonts w:ascii="Cambria Math" w:hAnsi="Cambria Math"/>
            </w:rPr>
            <m:t>+400</m:t>
          </m:r>
        </m:oMath>
      </m:oMathPara>
    </w:p>
    <w:p w14:paraId="39E845F3" w14:textId="68CF53AA" w:rsidR="002D4DF5" w:rsidRDefault="0089199E">
      <w:r>
        <w:t xml:space="preserve">Where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t xml:space="preserve"> is a vector of resulting manager budget values, and </w:t>
      </w:r>
      <w:r>
        <w:rPr>
          <w:i/>
          <w:iCs/>
        </w:rPr>
        <w:t>t</w:t>
      </w:r>
      <w:r>
        <w:t xml:space="preserve"> is a vector of time steps </w:t>
      </w:r>
      <w:r w:rsidR="00793FF2">
        <w:t xml:space="preserve">(1, 2, …, 49, </w:t>
      </w:r>
      <w:proofErr w:type="gramStart"/>
      <w:r w:rsidR="00793FF2">
        <w:t>50)</w:t>
      </w:r>
      <w:r>
        <w:t>.</w:t>
      </w:r>
      <w:proofErr w:type="gramEnd"/>
    </w:p>
    <w:p w14:paraId="1ED05D10" w14:textId="533C3BD4" w:rsidR="002D4DF5" w:rsidRPr="00F01069" w:rsidRDefault="00F01069">
      <w:pPr>
        <w:rPr>
          <w:i/>
          <w:iCs/>
        </w:rPr>
      </w:pPr>
      <w:r>
        <w:rPr>
          <w:i/>
          <w:iCs/>
        </w:rPr>
        <w:t xml:space="preserve">5.3.4.4. </w:t>
      </w:r>
      <w:r w:rsidR="0089199E" w:rsidRPr="00F01069">
        <w:rPr>
          <w:i/>
          <w:iCs/>
        </w:rPr>
        <w:t>Scenario 4</w:t>
      </w:r>
    </w:p>
    <w:p w14:paraId="379FD7F5" w14:textId="60BE4E9E" w:rsidR="00407D32" w:rsidRDefault="0089199E" w:rsidP="00D50C48">
      <w:r>
        <w:lastRenderedPageBreak/>
        <w:t xml:space="preserve">This scenario assumed that the budget available to the manager increased and decreased in unpredictable and irregular ways (Figure </w:t>
      </w:r>
      <w:r w:rsidR="00D247E2">
        <w:t>5.</w:t>
      </w:r>
      <w:r>
        <w:t>2). This was to simulate a conservation landscape in which the management authority relies partly on grant funding for policy implementation, and so applies for a range of different grants which vary in size and duration but is not necessarily successful at any given time. This scenario assumes the management authority has some level of core funding, and so the budget never decreases to zero. This scenario could reflect any number of conservation landscapes around the world, where project budgets are subject to the success of funding applications, resulting in variable and unpredictable resources for project activities and policy implementation. To simulate this scenario, we</w:t>
      </w:r>
      <w:r w:rsidR="002C7AE9">
        <w:t xml:space="preserve"> used a Fourier series approach to create irregular curves by </w:t>
      </w:r>
      <w:r w:rsidR="00B8415A">
        <w:t>summing multiple</w:t>
      </w:r>
      <w:r w:rsidR="002C7AE9">
        <w:t xml:space="preserve"> sine waves of different</w:t>
      </w:r>
      <w:r w:rsidR="00AA1760">
        <w:t xml:space="preserve"> </w:t>
      </w:r>
      <w:r w:rsidR="002C7AE9">
        <w:t>frequency</w:t>
      </w:r>
      <w:r w:rsidR="00D84DC6">
        <w:t xml:space="preserve"> </w:t>
      </w:r>
      <w:r w:rsidR="00D84DC6" w:rsidRPr="00D84DC6">
        <w:t>(</w:t>
      </w:r>
      <m:oMath>
        <m:r>
          <w:rPr>
            <w:rFonts w:ascii="Cambria Math" w:hAnsi="Cambria Math"/>
          </w:rPr>
          <m:t>f</m:t>
        </m:r>
      </m:oMath>
      <w:r w:rsidR="00D84DC6" w:rsidRPr="00D84DC6">
        <w:t>)</w:t>
      </w:r>
      <w:r w:rsidR="002C7AE9">
        <w:t>, delay</w:t>
      </w:r>
      <w:r w:rsidR="00D84DC6">
        <w:t xml:space="preserve"> </w:t>
      </w:r>
      <w:r w:rsidR="00D84DC6" w:rsidRPr="00D84DC6">
        <w:t>(</w:t>
      </w:r>
      <m:oMath>
        <m:r>
          <w:rPr>
            <w:rFonts w:ascii="Cambria Math" w:hAnsi="Cambria Math"/>
          </w:rPr>
          <m:t>φ</m:t>
        </m:r>
      </m:oMath>
      <w:r w:rsidR="00D84DC6" w:rsidRPr="00D84DC6">
        <w:t>)</w:t>
      </w:r>
      <w:r w:rsidR="002C7AE9">
        <w:t>, and strength</w:t>
      </w:r>
      <w:r w:rsidR="00D84DC6">
        <w:t xml:space="preserve"> </w:t>
      </w:r>
      <w:r w:rsidR="00D84DC6" w:rsidRPr="00D84DC6">
        <w:t>(</w:t>
      </w:r>
      <m:oMath>
        <m:r>
          <w:rPr>
            <w:rFonts w:ascii="Cambria Math" w:hAnsi="Cambria Math"/>
          </w:rPr>
          <m:t>A</m:t>
        </m:r>
      </m:oMath>
      <w:r w:rsidR="00D84DC6" w:rsidRPr="00D84DC6">
        <w:t>)</w:t>
      </w:r>
      <w:r w:rsidR="002C7AE9">
        <w:t>. We</w:t>
      </w:r>
      <w:r>
        <w:t xml:space="preserve"> produced three sine waves</w:t>
      </w:r>
      <w:r w:rsidR="002C7AE9">
        <w:t xml:space="preserve"> for each replicate simulation</w:t>
      </w:r>
      <w:r>
        <w:t xml:space="preserve"> by randomly sampling values</w:t>
      </w:r>
      <w:r w:rsidR="00FF7073">
        <w:t xml:space="preserve"> for the above parameters (Supporting Information</w:t>
      </w:r>
      <w:r w:rsidR="00407D32">
        <w:t xml:space="preserve">). </w:t>
      </w:r>
      <w:r>
        <w:t xml:space="preserve">The three sine waves were </w:t>
      </w:r>
      <w:r w:rsidR="00407D32">
        <w:t>summed</w:t>
      </w:r>
      <w:r>
        <w:t xml:space="preserve"> to produce a random complex wave</w:t>
      </w:r>
      <w:r w:rsidR="00407D32">
        <w:t>, using,</w:t>
      </w:r>
    </w:p>
    <w:p w14:paraId="6F8426BB" w14:textId="3C5449DA" w:rsidR="00407D32" w:rsidRPr="00407D32" w:rsidRDefault="00407D32" w:rsidP="00D50C48">
      <m:oMathPara>
        <m:oMathParaPr>
          <m:jc m:val="center"/>
        </m:oMathParaPr>
        <m:oMath>
          <m:r>
            <w:rPr>
              <w:rFonts w:ascii="Cambria Math" w:hAnsi="Cambria Math"/>
            </w:rPr>
            <m:t>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C</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3</m:t>
              </m:r>
            </m:sup>
            <m:e>
              <m:sSub>
                <m:sSubPr>
                  <m:ctrlPr>
                    <w:rPr>
                      <w:rFonts w:ascii="Cambria Math" w:hAnsi="Cambria Math"/>
                    </w:rPr>
                  </m:ctrlPr>
                </m:sSubPr>
                <m:e>
                  <m:r>
                    <w:rPr>
                      <w:rFonts w:ascii="Cambria Math" w:hAnsi="Cambria Math"/>
                    </w:rPr>
                    <m:t>b</m:t>
                  </m:r>
                </m:e>
                <m:sub>
                  <m:r>
                    <w:rPr>
                      <w:rFonts w:ascii="Cambria Math" w:hAnsi="Cambria Math"/>
                    </w:rPr>
                    <m:t>i</m:t>
                  </m:r>
                </m:sub>
              </m:sSub>
            </m:e>
          </m:nary>
          <m:r>
            <m:rPr>
              <m:sty m:val="p"/>
            </m:rPr>
            <w:rPr>
              <w:rFonts w:ascii="Cambria Math" w:hAnsi="Cambria Math"/>
            </w:rPr>
            <m:t>(</m:t>
          </m:r>
          <m:r>
            <w:rPr>
              <w:rFonts w:ascii="Cambria Math" w:hAnsi="Cambria Math"/>
            </w:rPr>
            <m:t>t</m:t>
          </m:r>
          <m:r>
            <m:rPr>
              <m:sty m:val="p"/>
            </m:rPr>
            <w:rPr>
              <w:rFonts w:ascii="Cambria Math" w:hAnsi="Cambria Math"/>
            </w:rPr>
            <m:t>)</m:t>
          </m:r>
        </m:oMath>
      </m:oMathPara>
    </w:p>
    <w:p w14:paraId="20118AAE" w14:textId="0E48D217" w:rsidR="002D4DF5" w:rsidRPr="00407D32" w:rsidRDefault="00407D32" w:rsidP="00D50C48">
      <w:r>
        <w:t xml:space="preserve">Where </w:t>
      </w:r>
      <m:oMath>
        <m:r>
          <w:rPr>
            <w:rFonts w:ascii="Cambria Math" w:hAnsi="Cambria Math"/>
          </w:rPr>
          <m:t>B</m:t>
        </m:r>
        <m:r>
          <m:rPr>
            <m:sty m:val="p"/>
          </m:rPr>
          <w:rPr>
            <w:rFonts w:ascii="Cambria Math" w:hAnsi="Cambria Math"/>
          </w:rPr>
          <m:t>(</m:t>
        </m:r>
        <m:r>
          <w:rPr>
            <w:rFonts w:ascii="Cambria Math" w:hAnsi="Cambria Math"/>
          </w:rPr>
          <m:t>t</m:t>
        </m:r>
        <m:r>
          <m:rPr>
            <m:sty m:val="p"/>
          </m:rPr>
          <w:rPr>
            <w:rFonts w:ascii="Cambria Math" w:hAnsi="Cambria Math"/>
          </w:rPr>
          <m:t>)</m:t>
        </m:r>
      </m:oMath>
      <w:r>
        <w:rPr>
          <w:rFonts w:eastAsiaTheme="minorEastAsia"/>
        </w:rPr>
        <w:t xml:space="preserve"> is the manager budget at time </w:t>
      </w:r>
      <w:r>
        <w:rPr>
          <w:rFonts w:eastAsiaTheme="minorEastAsia"/>
          <w:i/>
          <w:iCs/>
        </w:rPr>
        <w:t>t</w:t>
      </w:r>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is</w:t>
      </w:r>
      <w:r w:rsidR="009478EC">
        <w:rPr>
          <w:rFonts w:eastAsiaTheme="minorEastAsia"/>
        </w:rPr>
        <w:t xml:space="preserve"> a function defined by a</w:t>
      </w:r>
      <w:r>
        <w:rPr>
          <w:rFonts w:eastAsiaTheme="minorEastAsia"/>
        </w:rPr>
        <w:t xml:space="preserve"> sine wave </w:t>
      </w:r>
      <m:oMath>
        <m:r>
          <w:rPr>
            <w:rFonts w:ascii="Cambria Math" w:eastAsiaTheme="minorEastAsia" w:hAnsi="Cambria Math"/>
          </w:rPr>
          <m:t>i</m:t>
        </m:r>
      </m:oMath>
      <w:r>
        <w:rPr>
          <w:rFonts w:eastAsiaTheme="minorEastAsia"/>
        </w:rPr>
        <w:t xml:space="preserve"> at time </w:t>
      </w:r>
      <w:r>
        <w:rPr>
          <w:rFonts w:eastAsiaTheme="minorEastAsia"/>
          <w:i/>
          <w:iCs/>
        </w:rPr>
        <w:t xml:space="preserve">t, </w:t>
      </w:r>
      <w:r>
        <w:rPr>
          <w:rFonts w:eastAsiaTheme="minorEastAsia"/>
        </w:rPr>
        <w:t xml:space="preserve">and </w:t>
      </w:r>
      <w:r>
        <w:rPr>
          <w:rFonts w:eastAsiaTheme="minorEastAsia"/>
          <w:i/>
          <w:iCs/>
        </w:rPr>
        <w:t>C</w:t>
      </w:r>
      <w:r>
        <w:rPr>
          <w:rFonts w:eastAsiaTheme="minorEastAsia"/>
        </w:rPr>
        <w:t xml:space="preserve"> is a </w:t>
      </w:r>
      <w:proofErr w:type="gramStart"/>
      <w:r>
        <w:rPr>
          <w:rFonts w:eastAsiaTheme="minorEastAsia"/>
        </w:rPr>
        <w:t>constant.</w:t>
      </w:r>
      <w:proofErr w:type="gramEnd"/>
      <w:r>
        <w:rPr>
          <w:rFonts w:eastAsiaTheme="minorEastAsia"/>
        </w:rPr>
        <w:t xml:space="preserve"> </w:t>
      </w:r>
      <w:r w:rsidR="0089199E">
        <w:t xml:space="preserve">Each of the 100 replicates produced a different complex wave (Figure </w:t>
      </w:r>
      <w:r w:rsidR="00D247E2">
        <w:t>5.</w:t>
      </w:r>
      <w:r w:rsidR="0089199E">
        <w:t xml:space="preserve">2 shows 10 examples, see Supporting Information section 4 for all </w:t>
      </w:r>
      <w:r w:rsidR="00B8415A">
        <w:t>100</w:t>
      </w:r>
      <w:r w:rsidR="0089199E">
        <w:t xml:space="preserve"> waves used in the simulations). </w:t>
      </w:r>
    </w:p>
    <w:p w14:paraId="5C020B4D" w14:textId="6E09D11B" w:rsidR="002D4DF5" w:rsidRPr="00F01069" w:rsidRDefault="00F01069">
      <w:pPr>
        <w:rPr>
          <w:i/>
          <w:iCs/>
        </w:rPr>
      </w:pPr>
      <w:r>
        <w:rPr>
          <w:i/>
          <w:iCs/>
        </w:rPr>
        <w:t xml:space="preserve">5.3.4.5. </w:t>
      </w:r>
      <w:r w:rsidR="0089199E" w:rsidRPr="00F01069">
        <w:rPr>
          <w:i/>
          <w:iCs/>
        </w:rPr>
        <w:t>Scenario 5</w:t>
      </w:r>
    </w:p>
    <w:p w14:paraId="55787DDC" w14:textId="7CB69BF2" w:rsidR="002D4DF5" w:rsidRDefault="0089199E">
      <w:r>
        <w:t xml:space="preserve">This scenario is a more extreme example of scenario 4 and aimed to test the effect of increased variation and uncertainty in manager budgets on deforestation and system dynamics. We increased the range of the available values from which the frequencies and component strengths for the three sine waves could be sampled, thus increasing the potential amplitude of each wave, and making the changes in wave frequency more extreme (Figure </w:t>
      </w:r>
      <w:r w:rsidR="00D247E2">
        <w:t>5.</w:t>
      </w:r>
      <w:r>
        <w:t xml:space="preserve">2 shows 10 examples, see Supporting Information section 4 for all </w:t>
      </w:r>
      <w:r w:rsidR="00B8415A">
        <w:t>100</w:t>
      </w:r>
      <w:r>
        <w:t xml:space="preserve"> waves used in the simulations). To simulate this scenario, we produced a set of three random sine waves</w:t>
      </w:r>
      <w:r w:rsidR="00407D32">
        <w:t xml:space="preserve"> which</w:t>
      </w:r>
      <w:r>
        <w:t xml:space="preserve"> were used to produce a new complex wave for each replicate, using the same</w:t>
      </w:r>
      <w:r w:rsidR="00407D32">
        <w:t xml:space="preserve"> approach and</w:t>
      </w:r>
      <w:r>
        <w:t xml:space="preserve"> formula as in Scenario 4</w:t>
      </w:r>
      <w:r w:rsidR="00407D32">
        <w:t xml:space="preserve"> (Supporting Information)</w:t>
      </w:r>
      <w:r>
        <w:t xml:space="preserve">. </w:t>
      </w:r>
    </w:p>
    <w:p w14:paraId="0A81488D" w14:textId="29FD9306" w:rsidR="002D4DF5" w:rsidRPr="00F01069" w:rsidRDefault="00F01069">
      <w:pPr>
        <w:rPr>
          <w:i/>
          <w:iCs/>
        </w:rPr>
      </w:pPr>
      <w:r>
        <w:rPr>
          <w:i/>
          <w:iCs/>
        </w:rPr>
        <w:t xml:space="preserve">5.3.4.6. </w:t>
      </w:r>
      <w:r w:rsidR="0089199E" w:rsidRPr="00F01069">
        <w:rPr>
          <w:i/>
          <w:iCs/>
        </w:rPr>
        <w:t xml:space="preserve">Standardisation </w:t>
      </w:r>
    </w:p>
    <w:p w14:paraId="1CC904B8" w14:textId="7807E730" w:rsidR="002D4DF5" w:rsidRDefault="0089199E">
      <w:r>
        <w:t xml:space="preserve">Manager budgets in Scenario 1 had a constant value which summed to 25,000 over the </w:t>
      </w:r>
      <w:proofErr w:type="gramStart"/>
      <w:r>
        <w:t>50 time</w:t>
      </w:r>
      <w:proofErr w:type="gramEnd"/>
      <w:r>
        <w:t xml:space="preserve"> steps, and for scenarios 2 to 5 we standardised the manager budgets to 25,000, using,</w:t>
      </w:r>
    </w:p>
    <w:p w14:paraId="66C6C2DC" w14:textId="09CA1507" w:rsidR="002D4DF5" w:rsidRPr="006668D0" w:rsidRDefault="00A8561E">
      <w:pPr>
        <w:rPr>
          <w:sz w:val="24"/>
          <w:szCs w:val="24"/>
        </w:rPr>
      </w:pPr>
      <m:oMathPara>
        <m:oMathParaPr>
          <m:jc m:val="left"/>
        </m:oMathParaP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S_</m:t>
                  </m:r>
                  <m:r>
                    <w:rPr>
                      <w:rFonts w:ascii="Cambria Math" w:hAnsi="Cambria Math"/>
                      <w:sz w:val="24"/>
                      <w:szCs w:val="24"/>
                    </w:rPr>
                    <m:t>M</m:t>
                  </m:r>
                </m:e>
                <m:sub>
                  <m:r>
                    <w:rPr>
                      <w:rFonts w:ascii="Cambria Math" w:hAnsi="Cambria Math"/>
                      <w:sz w:val="24"/>
                      <w:szCs w:val="24"/>
                    </w:rPr>
                    <m:t>b</m:t>
                  </m:r>
                </m:sub>
              </m:sSub>
            </m:e>
            <m:sub>
              <m:r>
                <w:rPr>
                  <w:rFonts w:ascii="Cambria Math" w:hAnsi="Cambria Math"/>
                  <w:sz w:val="24"/>
                  <w:szCs w:val="24"/>
                </w:rPr>
                <m:t>i</m:t>
              </m:r>
            </m:sub>
          </m:sSub>
          <m:r>
            <w:rPr>
              <w:rFonts w:ascii="Cambria Math" w:hAnsi="Cambria Math"/>
              <w:sz w:val="24"/>
              <w:szCs w:val="24"/>
            </w:rPr>
            <m:t xml:space="preserve"> =</m:t>
          </m:r>
          <m:r>
            <w:rPr>
              <w:rFonts w:ascii="Cambria Math" w:hAnsi="Cambria Math"/>
              <w:sz w:val="24"/>
              <w:szCs w:val="24"/>
            </w:rPr>
            <m:t>25000×</m:t>
          </m:r>
          <m:f>
            <m:fPr>
              <m:ctrlPr>
                <w:rPr>
                  <w:rFonts w:ascii="Cambria Math" w:hAnsi="Cambria Math"/>
                  <w:sz w:val="24"/>
                  <w:szCs w:val="24"/>
                </w:rPr>
              </m:ctrlPr>
            </m:fPr>
            <m:num>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b</m:t>
                      </m:r>
                    </m:sub>
                  </m:sSub>
                </m:e>
                <m:sub>
                  <m:r>
                    <w:rPr>
                      <w:rFonts w:ascii="Cambria Math" w:hAnsi="Cambria Math"/>
                      <w:sz w:val="24"/>
                      <w:szCs w:val="24"/>
                    </w:rPr>
                    <m:t>i</m:t>
                  </m:r>
                </m:sub>
              </m:sSub>
            </m:num>
            <m:den>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50</m:t>
                  </m:r>
                </m:sup>
                <m:e>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b</m:t>
                          </m:r>
                        </m:sub>
                      </m:sSub>
                    </m:e>
                    <m:sub>
                      <m:r>
                        <w:rPr>
                          <w:rFonts w:ascii="Cambria Math" w:hAnsi="Cambria Math"/>
                          <w:sz w:val="24"/>
                          <w:szCs w:val="24"/>
                        </w:rPr>
                        <m:t>i</m:t>
                      </m:r>
                    </m:sub>
                  </m:sSub>
                </m:e>
              </m:nary>
            </m:den>
          </m:f>
        </m:oMath>
      </m:oMathPara>
    </w:p>
    <w:p w14:paraId="722E5EB7" w14:textId="3B879C20" w:rsidR="002D4DF5" w:rsidRDefault="009478EC">
      <w:r>
        <w:t>W</w:t>
      </w:r>
      <w:r w:rsidR="0089199E">
        <w:t>here</w:t>
      </w:r>
      <w:r>
        <w:t xml:space="preserve"> </w:t>
      </w: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S_M</m:t>
                </m:r>
              </m:e>
              <m:sub>
                <m:r>
                  <w:rPr>
                    <w:rFonts w:ascii="Cambria Math" w:hAnsi="Cambria Math"/>
                    <w:sz w:val="24"/>
                    <w:szCs w:val="24"/>
                  </w:rPr>
                  <m:t>b</m:t>
                </m:r>
              </m:sub>
            </m:sSub>
          </m:e>
          <m:sub>
            <m:r>
              <w:rPr>
                <w:rFonts w:ascii="Cambria Math" w:hAnsi="Cambria Math"/>
                <w:sz w:val="24"/>
                <w:szCs w:val="24"/>
              </w:rPr>
              <m:t>i</m:t>
            </m:r>
          </m:sub>
        </m:sSub>
      </m:oMath>
      <w:r>
        <w:rPr>
          <w:rFonts w:eastAsiaTheme="minorEastAsia"/>
          <w:b/>
          <w:bCs/>
          <w:sz w:val="24"/>
          <w:szCs w:val="24"/>
        </w:rPr>
        <w:t xml:space="preserve"> </w:t>
      </w:r>
      <w:r w:rsidRPr="00A8561E">
        <w:rPr>
          <w:rFonts w:eastAsiaTheme="minorEastAsia"/>
        </w:rPr>
        <w:t>is the standardised manager budget at time</w:t>
      </w:r>
      <w:r w:rsidR="00A8561E">
        <w:rPr>
          <w:rFonts w:eastAsiaTheme="minorEastAsia"/>
          <w:sz w:val="24"/>
          <w:szCs w:val="24"/>
        </w:rPr>
        <w:t xml:space="preserve"> </w:t>
      </w:r>
      <m:oMath>
        <m:r>
          <w:rPr>
            <w:rFonts w:ascii="Cambria Math" w:hAnsi="Cambria Math"/>
          </w:rPr>
          <m:t>i</m:t>
        </m:r>
      </m:oMath>
      <w:r w:rsidR="00A8561E">
        <w:rPr>
          <w:rFonts w:eastAsiaTheme="minorEastAsia"/>
        </w:rPr>
        <w:t>,</w:t>
      </w:r>
      <w:r w:rsidR="0089199E">
        <w:t xml:space="preserve"> </w:t>
      </w: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b</m:t>
                </m:r>
              </m:sub>
            </m:sSub>
          </m:e>
          <m:sub>
            <m:r>
              <w:rPr>
                <w:rFonts w:ascii="Cambria Math" w:hAnsi="Cambria Math"/>
                <w:sz w:val="24"/>
                <w:szCs w:val="24"/>
              </w:rPr>
              <m:t>i</m:t>
            </m:r>
          </m:sub>
        </m:sSub>
      </m:oMath>
      <w:r w:rsidR="0089199E">
        <w:t>is the manager budget</w:t>
      </w:r>
      <w:r w:rsidR="006668D0">
        <w:t xml:space="preserve">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sidR="0089199E">
        <w:t xml:space="preserve"> </w:t>
      </w:r>
      <w:r w:rsidR="006668D0">
        <w:t xml:space="preserve">at time step </w:t>
      </w:r>
      <m:oMath>
        <m:r>
          <w:rPr>
            <w:rFonts w:ascii="Cambria Math" w:hAnsi="Cambria Math"/>
          </w:rPr>
          <m:t>i</m:t>
        </m:r>
      </m:oMath>
      <w:r w:rsidR="0089199E">
        <w:t xml:space="preserve"> produced in the above sections. </w:t>
      </w:r>
    </w:p>
    <w:p w14:paraId="77F488CA" w14:textId="77777777" w:rsidR="002D4DF5" w:rsidRDefault="002D4DF5"/>
    <w:p w14:paraId="7B30A664" w14:textId="7510272B" w:rsidR="002D4DF5" w:rsidRPr="00F01069" w:rsidRDefault="00F01069">
      <w:pPr>
        <w:rPr>
          <w:b/>
          <w:bCs/>
          <w:i/>
          <w:iCs/>
        </w:rPr>
      </w:pPr>
      <w:r>
        <w:rPr>
          <w:b/>
          <w:bCs/>
          <w:i/>
          <w:iCs/>
        </w:rPr>
        <w:t xml:space="preserve">5.3.5. </w:t>
      </w:r>
      <w:r w:rsidR="0089199E" w:rsidRPr="00F01069">
        <w:rPr>
          <w:b/>
          <w:bCs/>
          <w:i/>
          <w:iCs/>
        </w:rPr>
        <w:t>Maximum harvest under maximum conflict</w:t>
      </w:r>
    </w:p>
    <w:p w14:paraId="146C31A8" w14:textId="5A6A14D0" w:rsidR="002D4DF5" w:rsidRDefault="0089199E">
      <w:r>
        <w:t xml:space="preserve">The maximum harvest under maximum conflict (MHMC) was calculated for each time step in each scenario to improve our understanding of the power dynamics between the manager and the communities. The MHMC is a single value for each time step that is based on the manager and user budgets at that time step. It is the maximum number of trees a user can harvest if the manager uses all their budget to reduce felling, and the user uses all their budget to fell trees. The manager uses </w:t>
      </w:r>
      <w:r>
        <w:lastRenderedPageBreak/>
        <w:t>10 budget points to increase the cost of felling by 1. There is always a minimum cost of an action of 10. Therefore, the cost of an action for the user, assuming the manager is using all their budget to increase the cost of the action, will be,</w:t>
      </w:r>
    </w:p>
    <w:p w14:paraId="15B9C018" w14:textId="551A4003" w:rsidR="002D4DF5" w:rsidRPr="006668D0" w:rsidRDefault="0089199E">
      <m:oMathPara>
        <m:oMathParaPr>
          <m:jc m:val="left"/>
        </m:oMathParaPr>
        <m:oMath>
          <m:r>
            <w:rPr>
              <w:rFonts w:ascii="Cambria Math" w:hAnsi="Cambria Math"/>
            </w:rPr>
            <m:t>nUA=</m:t>
          </m:r>
          <m:f>
            <m:fPr>
              <m:ctrlPr>
                <w:rPr>
                  <w:rFonts w:ascii="Cambria Math" w:hAnsi="Cambria Math"/>
                </w:rPr>
              </m:ctrlPr>
            </m:fPr>
            <m:num>
              <m:sSub>
                <m:sSubPr>
                  <m:ctrlPr>
                    <w:rPr>
                      <w:rFonts w:ascii="Cambria Math" w:hAnsi="Cambria Math"/>
                      <w:i/>
                    </w:rPr>
                  </m:ctrlPr>
                </m:sSubPr>
                <m:e>
                  <m:r>
                    <w:rPr>
                      <w:rFonts w:ascii="Cambria Math" w:hAnsi="Cambria Math"/>
                    </w:rPr>
                    <m:t>C</m:t>
                  </m:r>
                </m:e>
                <m:sub>
                  <m:r>
                    <w:rPr>
                      <w:rFonts w:ascii="Cambria Math" w:hAnsi="Cambria Math"/>
                    </w:rPr>
                    <m:t>r</m:t>
                  </m:r>
                </m:sub>
              </m:sSub>
            </m:num>
            <m:den>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M</m:t>
                          </m:r>
                        </m:e>
                        <m:sub>
                          <m:r>
                            <w:rPr>
                              <w:rFonts w:ascii="Cambria Math" w:hAnsi="Cambria Math"/>
                            </w:rPr>
                            <m:t>b</m:t>
                          </m:r>
                        </m:sub>
                      </m:sSub>
                    </m:num>
                    <m:den>
                      <m:r>
                        <w:rPr>
                          <w:rFonts w:ascii="Cambria Math" w:hAnsi="Cambria Math"/>
                        </w:rPr>
                        <m:t>10</m:t>
                      </m:r>
                    </m:den>
                  </m:f>
                </m:e>
              </m:d>
              <m:r>
                <w:rPr>
                  <w:rFonts w:ascii="Cambria Math" w:hAnsi="Cambria Math"/>
                </w:rPr>
                <m:t>+10</m:t>
              </m:r>
            </m:den>
          </m:f>
        </m:oMath>
      </m:oMathPara>
    </w:p>
    <w:p w14:paraId="120B05D4" w14:textId="57C5BE3B" w:rsidR="002D4DF5" w:rsidRDefault="00B8415A">
      <w:r>
        <w:rPr>
          <w:rFonts w:eastAsiaTheme="minorEastAsia"/>
        </w:rPr>
        <w:t>where</w:t>
      </w:r>
      <w:r w:rsidR="0089199E">
        <w:rPr>
          <w:rFonts w:eastAsiaTheme="minorEastAsia"/>
        </w:rPr>
        <w:t xml:space="preserve"> </w:t>
      </w:r>
      <m:oMath>
        <m:r>
          <w:rPr>
            <w:rFonts w:ascii="Cambria Math" w:hAnsi="Cambria Math"/>
          </w:rPr>
          <m:t>nUA</m:t>
        </m:r>
      </m:oMath>
      <w:r w:rsidR="0089199E">
        <w:rPr>
          <w:rFonts w:eastAsiaTheme="minorEastAsia"/>
        </w:rPr>
        <w:t xml:space="preserve"> is the number of user actions (i.e., the number of trees felled), </w:t>
      </w:r>
      <m:oMath>
        <m:sSub>
          <m:sSubPr>
            <m:ctrlPr>
              <w:rPr>
                <w:rFonts w:ascii="Cambria Math" w:hAnsi="Cambria Math"/>
                <w:i/>
              </w:rPr>
            </m:ctrlPr>
          </m:sSubPr>
          <m:e>
            <m:r>
              <w:rPr>
                <w:rFonts w:ascii="Cambria Math" w:hAnsi="Cambria Math"/>
              </w:rPr>
              <m:t>C</m:t>
            </m:r>
          </m:e>
          <m:sub>
            <m:r>
              <w:rPr>
                <w:rFonts w:ascii="Cambria Math" w:hAnsi="Cambria Math"/>
              </w:rPr>
              <m:t>r</m:t>
            </m:r>
          </m:sub>
        </m:sSub>
      </m:oMath>
      <w:r w:rsidR="0089199E">
        <w:rPr>
          <w:rFonts w:eastAsiaTheme="minorEastAsia"/>
        </w:rPr>
        <w:t xml:space="preserve"> is the community resources (user budget), and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sidR="0089199E">
        <w:rPr>
          <w:rFonts w:eastAsiaTheme="minorEastAsia"/>
        </w:rPr>
        <w:t xml:space="preserve"> is the manager budget. </w:t>
      </w:r>
    </w:p>
    <w:p w14:paraId="4BEB56D4" w14:textId="77777777" w:rsidR="002D4DF5" w:rsidRDefault="002D4DF5">
      <w:pPr>
        <w:sectPr w:rsidR="002D4DF5">
          <w:pgSz w:w="11906" w:h="16838"/>
          <w:pgMar w:top="1440" w:right="1440" w:bottom="1440" w:left="1440" w:header="0" w:footer="0" w:gutter="0"/>
          <w:cols w:space="720"/>
          <w:formProt w:val="0"/>
          <w:docGrid w:linePitch="360" w:charSpace="4096"/>
        </w:sectPr>
      </w:pPr>
    </w:p>
    <w:p w14:paraId="1E6EE16D" w14:textId="73997B71" w:rsidR="002D4DF5" w:rsidRDefault="0089199E">
      <w:r>
        <w:rPr>
          <w:b/>
          <w:bCs/>
          <w:sz w:val="20"/>
          <w:szCs w:val="20"/>
        </w:rPr>
        <w:lastRenderedPageBreak/>
        <w:t xml:space="preserve">Table </w:t>
      </w:r>
      <w:r w:rsidR="00F30A4A">
        <w:rPr>
          <w:b/>
          <w:bCs/>
          <w:sz w:val="20"/>
          <w:szCs w:val="20"/>
        </w:rPr>
        <w:t>5.</w:t>
      </w:r>
      <w:r>
        <w:rPr>
          <w:b/>
          <w:bCs/>
          <w:sz w:val="20"/>
          <w:szCs w:val="20"/>
        </w:rPr>
        <w:t xml:space="preserve">1. </w:t>
      </w:r>
      <w:bookmarkStart w:id="35" w:name="_Hlk95543514"/>
      <w:r w:rsidR="003E28EC">
        <w:rPr>
          <w:b/>
          <w:bCs/>
          <w:sz w:val="20"/>
          <w:szCs w:val="20"/>
        </w:rPr>
        <w:t>D</w:t>
      </w:r>
      <w:r>
        <w:rPr>
          <w:b/>
          <w:bCs/>
          <w:sz w:val="20"/>
          <w:szCs w:val="20"/>
        </w:rPr>
        <w:t xml:space="preserve">etails of the five </w:t>
      </w:r>
      <w:r w:rsidR="00F30A4A">
        <w:rPr>
          <w:b/>
          <w:bCs/>
          <w:sz w:val="20"/>
          <w:szCs w:val="20"/>
        </w:rPr>
        <w:t xml:space="preserve">funding </w:t>
      </w:r>
      <w:r>
        <w:rPr>
          <w:b/>
          <w:bCs/>
          <w:sz w:val="20"/>
          <w:szCs w:val="20"/>
        </w:rPr>
        <w:t>scenarios</w:t>
      </w:r>
      <w:r w:rsidR="003E28EC">
        <w:rPr>
          <w:b/>
          <w:bCs/>
          <w:sz w:val="20"/>
          <w:szCs w:val="20"/>
        </w:rPr>
        <w:t xml:space="preserve">. </w:t>
      </w:r>
      <w:bookmarkEnd w:id="35"/>
      <w:r w:rsidR="003E28EC">
        <w:rPr>
          <w:b/>
          <w:bCs/>
          <w:sz w:val="20"/>
          <w:szCs w:val="20"/>
        </w:rPr>
        <w:t>In all scenarios, the community resources started at a value of 2000 and increased with a slope of 75, resulting in a cumulative total of 191,875</w:t>
      </w:r>
    </w:p>
    <w:tbl>
      <w:tblPr>
        <w:tblStyle w:val="TableGrid"/>
        <w:tblW w:w="12333" w:type="dxa"/>
        <w:tblLook w:val="04A0" w:firstRow="1" w:lastRow="0" w:firstColumn="1" w:lastColumn="0" w:noHBand="0" w:noVBand="1"/>
      </w:tblPr>
      <w:tblGrid>
        <w:gridCol w:w="990"/>
        <w:gridCol w:w="6098"/>
        <w:gridCol w:w="2693"/>
        <w:gridCol w:w="2552"/>
      </w:tblGrid>
      <w:tr w:rsidR="003E28EC" w14:paraId="4DD1530E" w14:textId="77777777" w:rsidTr="003E28EC">
        <w:tc>
          <w:tcPr>
            <w:tcW w:w="990" w:type="dxa"/>
            <w:vMerge w:val="restart"/>
            <w:tcBorders>
              <w:top w:val="single" w:sz="12" w:space="0" w:color="000000"/>
              <w:left w:val="nil"/>
              <w:bottom w:val="nil"/>
              <w:right w:val="nil"/>
            </w:tcBorders>
            <w:shd w:val="clear" w:color="auto" w:fill="auto"/>
            <w:vAlign w:val="center"/>
          </w:tcPr>
          <w:p w14:paraId="1ECAE758" w14:textId="77777777" w:rsidR="003E28EC" w:rsidRDefault="003E28EC">
            <w:pPr>
              <w:spacing w:after="0" w:line="240" w:lineRule="auto"/>
              <w:jc w:val="center"/>
              <w:rPr>
                <w:b/>
                <w:bCs/>
                <w:sz w:val="20"/>
                <w:szCs w:val="20"/>
              </w:rPr>
            </w:pPr>
            <w:r>
              <w:rPr>
                <w:b/>
                <w:bCs/>
                <w:sz w:val="20"/>
                <w:szCs w:val="20"/>
              </w:rPr>
              <w:t>Scenario</w:t>
            </w:r>
          </w:p>
        </w:tc>
        <w:tc>
          <w:tcPr>
            <w:tcW w:w="6098" w:type="dxa"/>
            <w:vMerge w:val="restart"/>
            <w:tcBorders>
              <w:top w:val="single" w:sz="12" w:space="0" w:color="000000"/>
              <w:left w:val="nil"/>
              <w:bottom w:val="nil"/>
              <w:right w:val="nil"/>
            </w:tcBorders>
            <w:shd w:val="clear" w:color="auto" w:fill="auto"/>
            <w:vAlign w:val="center"/>
          </w:tcPr>
          <w:p w14:paraId="6919DF27" w14:textId="77777777" w:rsidR="003E28EC" w:rsidRDefault="003E28EC">
            <w:pPr>
              <w:spacing w:after="0" w:line="240" w:lineRule="auto"/>
              <w:jc w:val="center"/>
              <w:rPr>
                <w:b/>
                <w:bCs/>
                <w:sz w:val="20"/>
                <w:szCs w:val="20"/>
              </w:rPr>
            </w:pPr>
            <w:r>
              <w:rPr>
                <w:b/>
                <w:bCs/>
                <w:sz w:val="20"/>
                <w:szCs w:val="20"/>
              </w:rPr>
              <w:t>Description</w:t>
            </w:r>
          </w:p>
        </w:tc>
        <w:tc>
          <w:tcPr>
            <w:tcW w:w="5245" w:type="dxa"/>
            <w:gridSpan w:val="2"/>
            <w:tcBorders>
              <w:top w:val="single" w:sz="12" w:space="0" w:color="000000"/>
              <w:left w:val="nil"/>
              <w:bottom w:val="single" w:sz="6" w:space="0" w:color="000000"/>
              <w:right w:val="nil"/>
            </w:tcBorders>
            <w:shd w:val="clear" w:color="auto" w:fill="auto"/>
          </w:tcPr>
          <w:p w14:paraId="2092C040" w14:textId="77777777" w:rsidR="003E28EC" w:rsidRDefault="003E28EC">
            <w:pPr>
              <w:spacing w:after="0" w:line="240" w:lineRule="auto"/>
              <w:jc w:val="center"/>
              <w:rPr>
                <w:b/>
                <w:bCs/>
                <w:sz w:val="20"/>
                <w:szCs w:val="20"/>
              </w:rPr>
            </w:pPr>
            <w:r>
              <w:rPr>
                <w:b/>
                <w:bCs/>
                <w:sz w:val="20"/>
                <w:szCs w:val="20"/>
              </w:rPr>
              <w:t>Manager budget</w:t>
            </w:r>
          </w:p>
        </w:tc>
      </w:tr>
      <w:tr w:rsidR="003E28EC" w14:paraId="4DC88088" w14:textId="77777777" w:rsidTr="003E28EC">
        <w:tc>
          <w:tcPr>
            <w:tcW w:w="990" w:type="dxa"/>
            <w:vMerge/>
            <w:tcBorders>
              <w:top w:val="nil"/>
              <w:left w:val="nil"/>
              <w:bottom w:val="single" w:sz="12" w:space="0" w:color="000000"/>
              <w:right w:val="nil"/>
            </w:tcBorders>
            <w:shd w:val="clear" w:color="auto" w:fill="auto"/>
          </w:tcPr>
          <w:p w14:paraId="726C14D4" w14:textId="77777777" w:rsidR="003E28EC" w:rsidRDefault="003E28EC">
            <w:pPr>
              <w:spacing w:after="0" w:line="240" w:lineRule="auto"/>
              <w:jc w:val="center"/>
              <w:rPr>
                <w:b/>
                <w:bCs/>
                <w:sz w:val="20"/>
                <w:szCs w:val="20"/>
              </w:rPr>
            </w:pPr>
          </w:p>
        </w:tc>
        <w:tc>
          <w:tcPr>
            <w:tcW w:w="6098" w:type="dxa"/>
            <w:vMerge/>
            <w:tcBorders>
              <w:top w:val="nil"/>
              <w:left w:val="nil"/>
              <w:bottom w:val="single" w:sz="12" w:space="0" w:color="000000"/>
              <w:right w:val="nil"/>
            </w:tcBorders>
            <w:shd w:val="clear" w:color="auto" w:fill="auto"/>
          </w:tcPr>
          <w:p w14:paraId="3767F391" w14:textId="77777777" w:rsidR="003E28EC" w:rsidRDefault="003E28EC">
            <w:pPr>
              <w:spacing w:after="0" w:line="240" w:lineRule="auto"/>
              <w:jc w:val="center"/>
              <w:rPr>
                <w:b/>
                <w:bCs/>
                <w:sz w:val="20"/>
                <w:szCs w:val="20"/>
              </w:rPr>
            </w:pPr>
          </w:p>
        </w:tc>
        <w:tc>
          <w:tcPr>
            <w:tcW w:w="2693" w:type="dxa"/>
            <w:tcBorders>
              <w:top w:val="single" w:sz="6" w:space="0" w:color="000000"/>
              <w:left w:val="nil"/>
              <w:bottom w:val="single" w:sz="12" w:space="0" w:color="000000"/>
              <w:right w:val="nil"/>
            </w:tcBorders>
            <w:shd w:val="clear" w:color="auto" w:fill="auto"/>
          </w:tcPr>
          <w:p w14:paraId="29F7C08B" w14:textId="77777777" w:rsidR="003E28EC" w:rsidRDefault="003E28EC">
            <w:pPr>
              <w:spacing w:after="0" w:line="240" w:lineRule="auto"/>
              <w:jc w:val="center"/>
              <w:rPr>
                <w:b/>
                <w:bCs/>
                <w:sz w:val="20"/>
                <w:szCs w:val="20"/>
              </w:rPr>
            </w:pPr>
            <w:r>
              <w:rPr>
                <w:b/>
                <w:bCs/>
                <w:sz w:val="20"/>
                <w:szCs w:val="20"/>
              </w:rPr>
              <w:t>Starting value</w:t>
            </w:r>
          </w:p>
        </w:tc>
        <w:tc>
          <w:tcPr>
            <w:tcW w:w="2552" w:type="dxa"/>
            <w:tcBorders>
              <w:top w:val="single" w:sz="6" w:space="0" w:color="000000"/>
              <w:left w:val="nil"/>
              <w:bottom w:val="single" w:sz="12" w:space="0" w:color="000000"/>
              <w:right w:val="nil"/>
            </w:tcBorders>
            <w:shd w:val="clear" w:color="auto" w:fill="auto"/>
          </w:tcPr>
          <w:p w14:paraId="20A2572F" w14:textId="77777777" w:rsidR="003E28EC" w:rsidRDefault="003E28EC">
            <w:pPr>
              <w:spacing w:after="0" w:line="240" w:lineRule="auto"/>
              <w:jc w:val="center"/>
              <w:rPr>
                <w:b/>
                <w:bCs/>
                <w:sz w:val="20"/>
                <w:szCs w:val="20"/>
              </w:rPr>
            </w:pPr>
            <w:r>
              <w:rPr>
                <w:b/>
                <w:bCs/>
                <w:sz w:val="20"/>
                <w:szCs w:val="20"/>
              </w:rPr>
              <w:t>Total cumulative budget</w:t>
            </w:r>
          </w:p>
        </w:tc>
      </w:tr>
      <w:tr w:rsidR="003E28EC" w14:paraId="09E8D15C" w14:textId="77777777" w:rsidTr="003E28EC">
        <w:tc>
          <w:tcPr>
            <w:tcW w:w="990" w:type="dxa"/>
            <w:tcBorders>
              <w:top w:val="single" w:sz="12" w:space="0" w:color="000000"/>
              <w:left w:val="nil"/>
              <w:bottom w:val="nil"/>
              <w:right w:val="nil"/>
            </w:tcBorders>
            <w:shd w:val="clear" w:color="auto" w:fill="auto"/>
          </w:tcPr>
          <w:p w14:paraId="1FF7BEEB" w14:textId="77777777" w:rsidR="003E28EC" w:rsidRDefault="003E28EC">
            <w:pPr>
              <w:spacing w:after="0" w:line="240" w:lineRule="auto"/>
              <w:rPr>
                <w:sz w:val="20"/>
                <w:szCs w:val="20"/>
              </w:rPr>
            </w:pPr>
            <w:r>
              <w:rPr>
                <w:sz w:val="20"/>
                <w:szCs w:val="20"/>
              </w:rPr>
              <w:t>1</w:t>
            </w:r>
          </w:p>
        </w:tc>
        <w:tc>
          <w:tcPr>
            <w:tcW w:w="6098" w:type="dxa"/>
            <w:tcBorders>
              <w:top w:val="single" w:sz="12" w:space="0" w:color="000000"/>
              <w:left w:val="nil"/>
              <w:bottom w:val="nil"/>
              <w:right w:val="nil"/>
            </w:tcBorders>
            <w:shd w:val="clear" w:color="auto" w:fill="auto"/>
          </w:tcPr>
          <w:p w14:paraId="7E640B38" w14:textId="77777777" w:rsidR="003E28EC" w:rsidRDefault="003E28EC">
            <w:pPr>
              <w:spacing w:after="0" w:line="240" w:lineRule="auto"/>
              <w:rPr>
                <w:sz w:val="20"/>
                <w:szCs w:val="20"/>
              </w:rPr>
            </w:pPr>
            <w:r>
              <w:rPr>
                <w:sz w:val="20"/>
                <w:szCs w:val="20"/>
              </w:rPr>
              <w:t xml:space="preserve">Manager budget remains constant (i.e., does not increase) over time. Community resources increases linearly </w:t>
            </w:r>
          </w:p>
        </w:tc>
        <w:tc>
          <w:tcPr>
            <w:tcW w:w="2693" w:type="dxa"/>
            <w:tcBorders>
              <w:top w:val="single" w:sz="12" w:space="0" w:color="000000"/>
              <w:left w:val="nil"/>
              <w:bottom w:val="nil"/>
              <w:right w:val="nil"/>
            </w:tcBorders>
            <w:shd w:val="clear" w:color="auto" w:fill="auto"/>
          </w:tcPr>
          <w:p w14:paraId="5F0F58FB" w14:textId="77777777" w:rsidR="003E28EC" w:rsidRDefault="003E28EC">
            <w:pPr>
              <w:spacing w:after="0" w:line="240" w:lineRule="auto"/>
              <w:jc w:val="center"/>
              <w:rPr>
                <w:sz w:val="20"/>
                <w:szCs w:val="20"/>
              </w:rPr>
            </w:pPr>
            <w:r>
              <w:rPr>
                <w:sz w:val="20"/>
                <w:szCs w:val="20"/>
              </w:rPr>
              <w:t>500</w:t>
            </w:r>
          </w:p>
        </w:tc>
        <w:tc>
          <w:tcPr>
            <w:tcW w:w="2552" w:type="dxa"/>
            <w:tcBorders>
              <w:top w:val="single" w:sz="12" w:space="0" w:color="000000"/>
              <w:left w:val="nil"/>
              <w:bottom w:val="nil"/>
              <w:right w:val="nil"/>
            </w:tcBorders>
            <w:shd w:val="clear" w:color="auto" w:fill="auto"/>
          </w:tcPr>
          <w:p w14:paraId="6AD575EA" w14:textId="77777777" w:rsidR="003E28EC" w:rsidRDefault="003E28EC">
            <w:pPr>
              <w:spacing w:after="0" w:line="240" w:lineRule="auto"/>
              <w:jc w:val="center"/>
              <w:rPr>
                <w:sz w:val="20"/>
                <w:szCs w:val="20"/>
              </w:rPr>
            </w:pPr>
            <w:r>
              <w:rPr>
                <w:sz w:val="20"/>
                <w:szCs w:val="20"/>
              </w:rPr>
              <w:t>25,000</w:t>
            </w:r>
          </w:p>
        </w:tc>
      </w:tr>
      <w:tr w:rsidR="003E28EC" w14:paraId="2AA9E609" w14:textId="77777777" w:rsidTr="003E28EC">
        <w:tc>
          <w:tcPr>
            <w:tcW w:w="990" w:type="dxa"/>
            <w:tcBorders>
              <w:top w:val="nil"/>
              <w:left w:val="nil"/>
              <w:bottom w:val="nil"/>
              <w:right w:val="nil"/>
            </w:tcBorders>
            <w:shd w:val="clear" w:color="auto" w:fill="auto"/>
          </w:tcPr>
          <w:p w14:paraId="43B47CC8" w14:textId="77777777" w:rsidR="003E28EC" w:rsidRDefault="003E28EC">
            <w:pPr>
              <w:spacing w:after="0" w:line="240" w:lineRule="auto"/>
              <w:rPr>
                <w:sz w:val="20"/>
                <w:szCs w:val="20"/>
              </w:rPr>
            </w:pPr>
            <w:r>
              <w:rPr>
                <w:sz w:val="20"/>
                <w:szCs w:val="20"/>
              </w:rPr>
              <w:t>2</w:t>
            </w:r>
          </w:p>
        </w:tc>
        <w:tc>
          <w:tcPr>
            <w:tcW w:w="6098" w:type="dxa"/>
            <w:tcBorders>
              <w:top w:val="nil"/>
              <w:left w:val="nil"/>
              <w:bottom w:val="nil"/>
              <w:right w:val="nil"/>
            </w:tcBorders>
            <w:shd w:val="clear" w:color="auto" w:fill="auto"/>
          </w:tcPr>
          <w:p w14:paraId="7E23CDA2" w14:textId="77777777" w:rsidR="003E28EC" w:rsidRDefault="003E28EC">
            <w:pPr>
              <w:spacing w:after="0" w:line="240" w:lineRule="auto"/>
              <w:rPr>
                <w:sz w:val="20"/>
                <w:szCs w:val="20"/>
              </w:rPr>
            </w:pPr>
            <w:r>
              <w:rPr>
                <w:sz w:val="20"/>
                <w:szCs w:val="20"/>
              </w:rPr>
              <w:t>Manager budget increases linearly, reflecting a regular and predictable increase in resources over time. Community resources increase linearly</w:t>
            </w:r>
          </w:p>
        </w:tc>
        <w:tc>
          <w:tcPr>
            <w:tcW w:w="2693" w:type="dxa"/>
            <w:tcBorders>
              <w:top w:val="nil"/>
              <w:left w:val="nil"/>
              <w:bottom w:val="nil"/>
              <w:right w:val="nil"/>
            </w:tcBorders>
            <w:shd w:val="clear" w:color="auto" w:fill="auto"/>
          </w:tcPr>
          <w:p w14:paraId="3E94BCE8" w14:textId="77777777" w:rsidR="003E28EC" w:rsidRDefault="003E28EC">
            <w:pPr>
              <w:spacing w:after="0" w:line="240" w:lineRule="auto"/>
              <w:jc w:val="center"/>
              <w:rPr>
                <w:sz w:val="20"/>
                <w:szCs w:val="20"/>
              </w:rPr>
            </w:pPr>
            <w:r>
              <w:rPr>
                <w:sz w:val="20"/>
                <w:szCs w:val="20"/>
              </w:rPr>
              <w:t>126.9</w:t>
            </w:r>
          </w:p>
        </w:tc>
        <w:tc>
          <w:tcPr>
            <w:tcW w:w="2552" w:type="dxa"/>
            <w:tcBorders>
              <w:top w:val="nil"/>
              <w:left w:val="nil"/>
              <w:bottom w:val="nil"/>
              <w:right w:val="nil"/>
            </w:tcBorders>
            <w:shd w:val="clear" w:color="auto" w:fill="auto"/>
          </w:tcPr>
          <w:p w14:paraId="6B1FF043" w14:textId="77777777" w:rsidR="003E28EC" w:rsidRDefault="003E28EC">
            <w:pPr>
              <w:spacing w:after="0" w:line="240" w:lineRule="auto"/>
              <w:jc w:val="center"/>
              <w:rPr>
                <w:sz w:val="20"/>
                <w:szCs w:val="20"/>
              </w:rPr>
            </w:pPr>
            <w:r>
              <w:rPr>
                <w:sz w:val="20"/>
                <w:szCs w:val="20"/>
              </w:rPr>
              <w:t>25,000</w:t>
            </w:r>
          </w:p>
        </w:tc>
      </w:tr>
      <w:tr w:rsidR="003E28EC" w14:paraId="19B0BB58" w14:textId="77777777" w:rsidTr="003E28EC">
        <w:tc>
          <w:tcPr>
            <w:tcW w:w="990" w:type="dxa"/>
            <w:tcBorders>
              <w:top w:val="nil"/>
              <w:left w:val="nil"/>
              <w:bottom w:val="nil"/>
              <w:right w:val="nil"/>
            </w:tcBorders>
            <w:shd w:val="clear" w:color="auto" w:fill="auto"/>
          </w:tcPr>
          <w:p w14:paraId="52EAA1F0" w14:textId="77777777" w:rsidR="003E28EC" w:rsidRDefault="003E28EC">
            <w:pPr>
              <w:spacing w:after="0" w:line="240" w:lineRule="auto"/>
              <w:rPr>
                <w:sz w:val="20"/>
                <w:szCs w:val="20"/>
              </w:rPr>
            </w:pPr>
            <w:r>
              <w:rPr>
                <w:sz w:val="20"/>
                <w:szCs w:val="20"/>
              </w:rPr>
              <w:t>3</w:t>
            </w:r>
          </w:p>
        </w:tc>
        <w:tc>
          <w:tcPr>
            <w:tcW w:w="6098" w:type="dxa"/>
            <w:tcBorders>
              <w:top w:val="nil"/>
              <w:left w:val="nil"/>
              <w:bottom w:val="nil"/>
              <w:right w:val="nil"/>
            </w:tcBorders>
            <w:shd w:val="clear" w:color="auto" w:fill="auto"/>
          </w:tcPr>
          <w:p w14:paraId="0E5356A6" w14:textId="77777777" w:rsidR="003E28EC" w:rsidRDefault="003E28EC">
            <w:pPr>
              <w:spacing w:after="0" w:line="240" w:lineRule="auto"/>
              <w:rPr>
                <w:sz w:val="20"/>
                <w:szCs w:val="20"/>
              </w:rPr>
            </w:pPr>
            <w:r>
              <w:rPr>
                <w:sz w:val="20"/>
                <w:szCs w:val="20"/>
              </w:rPr>
              <w:t>Manager budget increases and decreases in a predictable way, reflecting reliable funding cycles. Community resources increases linearly</w:t>
            </w:r>
          </w:p>
        </w:tc>
        <w:tc>
          <w:tcPr>
            <w:tcW w:w="2693" w:type="dxa"/>
            <w:tcBorders>
              <w:top w:val="nil"/>
              <w:left w:val="nil"/>
              <w:bottom w:val="nil"/>
              <w:right w:val="nil"/>
            </w:tcBorders>
            <w:shd w:val="clear" w:color="auto" w:fill="auto"/>
          </w:tcPr>
          <w:p w14:paraId="2E2FC558" w14:textId="77777777" w:rsidR="003E28EC" w:rsidRDefault="003E28EC">
            <w:pPr>
              <w:spacing w:after="0" w:line="240" w:lineRule="auto"/>
              <w:jc w:val="center"/>
              <w:rPr>
                <w:sz w:val="20"/>
                <w:szCs w:val="20"/>
              </w:rPr>
            </w:pPr>
            <w:r>
              <w:rPr>
                <w:sz w:val="20"/>
                <w:szCs w:val="20"/>
              </w:rPr>
              <w:t>499.3</w:t>
            </w:r>
          </w:p>
        </w:tc>
        <w:tc>
          <w:tcPr>
            <w:tcW w:w="2552" w:type="dxa"/>
            <w:tcBorders>
              <w:top w:val="nil"/>
              <w:left w:val="nil"/>
              <w:bottom w:val="nil"/>
              <w:right w:val="nil"/>
            </w:tcBorders>
            <w:shd w:val="clear" w:color="auto" w:fill="auto"/>
          </w:tcPr>
          <w:p w14:paraId="79B28CCB" w14:textId="77777777" w:rsidR="003E28EC" w:rsidRDefault="003E28EC">
            <w:pPr>
              <w:spacing w:after="0" w:line="240" w:lineRule="auto"/>
              <w:jc w:val="center"/>
              <w:rPr>
                <w:sz w:val="20"/>
                <w:szCs w:val="20"/>
              </w:rPr>
            </w:pPr>
            <w:r>
              <w:rPr>
                <w:sz w:val="20"/>
                <w:szCs w:val="20"/>
              </w:rPr>
              <w:t>25,000</w:t>
            </w:r>
          </w:p>
        </w:tc>
      </w:tr>
      <w:tr w:rsidR="003E28EC" w14:paraId="56549D12" w14:textId="77777777" w:rsidTr="003E28EC">
        <w:tc>
          <w:tcPr>
            <w:tcW w:w="990" w:type="dxa"/>
            <w:tcBorders>
              <w:top w:val="nil"/>
              <w:left w:val="nil"/>
              <w:bottom w:val="nil"/>
              <w:right w:val="nil"/>
            </w:tcBorders>
            <w:shd w:val="clear" w:color="auto" w:fill="auto"/>
          </w:tcPr>
          <w:p w14:paraId="2C0FD0F3" w14:textId="77777777" w:rsidR="003E28EC" w:rsidRDefault="003E28EC">
            <w:pPr>
              <w:spacing w:after="0" w:line="240" w:lineRule="auto"/>
              <w:rPr>
                <w:sz w:val="20"/>
                <w:szCs w:val="20"/>
              </w:rPr>
            </w:pPr>
            <w:r>
              <w:rPr>
                <w:sz w:val="20"/>
                <w:szCs w:val="20"/>
              </w:rPr>
              <w:t>4</w:t>
            </w:r>
          </w:p>
        </w:tc>
        <w:tc>
          <w:tcPr>
            <w:tcW w:w="6098" w:type="dxa"/>
            <w:tcBorders>
              <w:top w:val="nil"/>
              <w:left w:val="nil"/>
              <w:bottom w:val="nil"/>
              <w:right w:val="nil"/>
            </w:tcBorders>
            <w:shd w:val="clear" w:color="auto" w:fill="auto"/>
          </w:tcPr>
          <w:p w14:paraId="75CFB3AB" w14:textId="77777777" w:rsidR="003E28EC" w:rsidRDefault="003E28EC">
            <w:pPr>
              <w:spacing w:after="0" w:line="240" w:lineRule="auto"/>
              <w:rPr>
                <w:sz w:val="20"/>
                <w:szCs w:val="20"/>
              </w:rPr>
            </w:pPr>
            <w:r>
              <w:rPr>
                <w:sz w:val="20"/>
                <w:szCs w:val="20"/>
              </w:rPr>
              <w:t>Manager budget increases and decreases unpredictably, reflecting unreliable and unpredictable funding streams over time. Community resources increase linearly</w:t>
            </w:r>
          </w:p>
        </w:tc>
        <w:tc>
          <w:tcPr>
            <w:tcW w:w="2693" w:type="dxa"/>
            <w:tcBorders>
              <w:top w:val="nil"/>
              <w:left w:val="nil"/>
              <w:bottom w:val="nil"/>
              <w:right w:val="nil"/>
            </w:tcBorders>
            <w:shd w:val="clear" w:color="auto" w:fill="auto"/>
          </w:tcPr>
          <w:p w14:paraId="3C2CAC92" w14:textId="77777777" w:rsidR="003E28EC" w:rsidRDefault="003E28EC">
            <w:pPr>
              <w:spacing w:after="0" w:line="240" w:lineRule="auto"/>
              <w:jc w:val="center"/>
              <w:rPr>
                <w:sz w:val="20"/>
                <w:szCs w:val="20"/>
              </w:rPr>
            </w:pPr>
            <w:r>
              <w:rPr>
                <w:sz w:val="20"/>
                <w:szCs w:val="20"/>
              </w:rPr>
              <w:t>Variable</w:t>
            </w:r>
          </w:p>
        </w:tc>
        <w:tc>
          <w:tcPr>
            <w:tcW w:w="2552" w:type="dxa"/>
            <w:tcBorders>
              <w:top w:val="nil"/>
              <w:left w:val="nil"/>
              <w:bottom w:val="nil"/>
              <w:right w:val="nil"/>
            </w:tcBorders>
            <w:shd w:val="clear" w:color="auto" w:fill="auto"/>
          </w:tcPr>
          <w:p w14:paraId="18E523D9" w14:textId="77777777" w:rsidR="003E28EC" w:rsidRDefault="003E28EC">
            <w:pPr>
              <w:spacing w:after="0" w:line="240" w:lineRule="auto"/>
              <w:jc w:val="center"/>
              <w:rPr>
                <w:sz w:val="20"/>
                <w:szCs w:val="20"/>
              </w:rPr>
            </w:pPr>
            <w:r>
              <w:rPr>
                <w:sz w:val="20"/>
                <w:szCs w:val="20"/>
              </w:rPr>
              <w:t>25,000</w:t>
            </w:r>
          </w:p>
        </w:tc>
      </w:tr>
      <w:tr w:rsidR="003E28EC" w14:paraId="5C331504" w14:textId="77777777" w:rsidTr="003E28EC">
        <w:tc>
          <w:tcPr>
            <w:tcW w:w="990" w:type="dxa"/>
            <w:tcBorders>
              <w:top w:val="nil"/>
              <w:left w:val="nil"/>
              <w:bottom w:val="single" w:sz="12" w:space="0" w:color="000000"/>
              <w:right w:val="nil"/>
            </w:tcBorders>
            <w:shd w:val="clear" w:color="auto" w:fill="auto"/>
          </w:tcPr>
          <w:p w14:paraId="071A8CFD" w14:textId="77777777" w:rsidR="003E28EC" w:rsidRDefault="003E28EC">
            <w:pPr>
              <w:spacing w:after="0" w:line="240" w:lineRule="auto"/>
              <w:rPr>
                <w:sz w:val="20"/>
                <w:szCs w:val="20"/>
              </w:rPr>
            </w:pPr>
            <w:r>
              <w:rPr>
                <w:sz w:val="20"/>
                <w:szCs w:val="20"/>
              </w:rPr>
              <w:t>5</w:t>
            </w:r>
          </w:p>
        </w:tc>
        <w:tc>
          <w:tcPr>
            <w:tcW w:w="6098" w:type="dxa"/>
            <w:tcBorders>
              <w:top w:val="nil"/>
              <w:left w:val="nil"/>
              <w:bottom w:val="single" w:sz="12" w:space="0" w:color="000000"/>
              <w:right w:val="nil"/>
            </w:tcBorders>
            <w:shd w:val="clear" w:color="auto" w:fill="auto"/>
          </w:tcPr>
          <w:p w14:paraId="209F8A66" w14:textId="77777777" w:rsidR="003E28EC" w:rsidRDefault="003E28EC">
            <w:pPr>
              <w:spacing w:after="0" w:line="240" w:lineRule="auto"/>
              <w:rPr>
                <w:sz w:val="20"/>
                <w:szCs w:val="20"/>
              </w:rPr>
            </w:pPr>
            <w:r>
              <w:rPr>
                <w:sz w:val="20"/>
                <w:szCs w:val="20"/>
              </w:rPr>
              <w:t>Manager budget increases and decreases unpredictably, reflecting unreliable and unpredictable funding streams over time. Community resources increase linearly</w:t>
            </w:r>
          </w:p>
        </w:tc>
        <w:tc>
          <w:tcPr>
            <w:tcW w:w="2693" w:type="dxa"/>
            <w:tcBorders>
              <w:top w:val="nil"/>
              <w:left w:val="nil"/>
              <w:bottom w:val="single" w:sz="12" w:space="0" w:color="000000"/>
              <w:right w:val="nil"/>
            </w:tcBorders>
            <w:shd w:val="clear" w:color="auto" w:fill="auto"/>
          </w:tcPr>
          <w:p w14:paraId="238D1F48" w14:textId="77777777" w:rsidR="003E28EC" w:rsidRDefault="003E28EC">
            <w:pPr>
              <w:spacing w:after="0" w:line="240" w:lineRule="auto"/>
              <w:jc w:val="center"/>
              <w:rPr>
                <w:sz w:val="20"/>
                <w:szCs w:val="20"/>
              </w:rPr>
            </w:pPr>
            <w:r>
              <w:rPr>
                <w:sz w:val="20"/>
                <w:szCs w:val="20"/>
              </w:rPr>
              <w:t>Variable</w:t>
            </w:r>
          </w:p>
        </w:tc>
        <w:tc>
          <w:tcPr>
            <w:tcW w:w="2552" w:type="dxa"/>
            <w:tcBorders>
              <w:top w:val="nil"/>
              <w:left w:val="nil"/>
              <w:bottom w:val="single" w:sz="12" w:space="0" w:color="000000"/>
              <w:right w:val="nil"/>
            </w:tcBorders>
            <w:shd w:val="clear" w:color="auto" w:fill="auto"/>
          </w:tcPr>
          <w:p w14:paraId="77F5D7C8" w14:textId="77777777" w:rsidR="003E28EC" w:rsidRDefault="003E28EC">
            <w:pPr>
              <w:spacing w:after="0" w:line="240" w:lineRule="auto"/>
              <w:jc w:val="center"/>
              <w:rPr>
                <w:sz w:val="20"/>
                <w:szCs w:val="20"/>
              </w:rPr>
            </w:pPr>
            <w:r>
              <w:rPr>
                <w:sz w:val="20"/>
                <w:szCs w:val="20"/>
              </w:rPr>
              <w:t>25,000</w:t>
            </w:r>
          </w:p>
        </w:tc>
      </w:tr>
    </w:tbl>
    <w:p w14:paraId="2EBA1318" w14:textId="77777777" w:rsidR="002D4DF5" w:rsidRDefault="002D4DF5"/>
    <w:p w14:paraId="337B54FD" w14:textId="77777777" w:rsidR="002D4DF5" w:rsidRDefault="002D4DF5"/>
    <w:p w14:paraId="1D783C83" w14:textId="77777777" w:rsidR="002D4DF5" w:rsidRDefault="002D4DF5"/>
    <w:p w14:paraId="28B635D3" w14:textId="77777777" w:rsidR="002D4DF5" w:rsidRDefault="002D4DF5">
      <w:pPr>
        <w:sectPr w:rsidR="002D4DF5">
          <w:pgSz w:w="16838" w:h="11906" w:orient="landscape"/>
          <w:pgMar w:top="1440" w:right="1440" w:bottom="1440" w:left="1440" w:header="0" w:footer="0" w:gutter="0"/>
          <w:cols w:space="720"/>
          <w:formProt w:val="0"/>
          <w:docGrid w:linePitch="360" w:charSpace="4096"/>
        </w:sectPr>
      </w:pPr>
    </w:p>
    <w:p w14:paraId="713B9706" w14:textId="77777777" w:rsidR="002D4DF5" w:rsidRDefault="0089199E">
      <w:r>
        <w:rPr>
          <w:noProof/>
        </w:rPr>
        <w:lastRenderedPageBreak/>
        <w:drawing>
          <wp:anchor distT="0" distB="0" distL="114300" distR="118110" simplePos="0" relativeHeight="2" behindDoc="1" locked="0" layoutInCell="1" allowOverlap="1" wp14:anchorId="03D52E91" wp14:editId="24681ED5">
            <wp:simplePos x="0" y="0"/>
            <wp:positionH relativeFrom="column">
              <wp:posOffset>-276225</wp:posOffset>
            </wp:positionH>
            <wp:positionV relativeFrom="paragraph">
              <wp:posOffset>-266700</wp:posOffset>
            </wp:positionV>
            <wp:extent cx="6720840" cy="4800600"/>
            <wp:effectExtent l="0" t="0" r="0" b="0"/>
            <wp:wrapNone/>
            <wp:docPr id="2"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Chart&#10;&#10;Description automatically generated"/>
                    <pic:cNvPicPr>
                      <a:picLocks noChangeAspect="1" noChangeArrowheads="1"/>
                    </pic:cNvPicPr>
                  </pic:nvPicPr>
                  <pic:blipFill>
                    <a:blip r:embed="rId7"/>
                    <a:stretch>
                      <a:fillRect/>
                    </a:stretch>
                  </pic:blipFill>
                  <pic:spPr bwMode="auto">
                    <a:xfrm>
                      <a:off x="0" y="0"/>
                      <a:ext cx="6720840" cy="4800600"/>
                    </a:xfrm>
                    <a:prstGeom prst="rect">
                      <a:avLst/>
                    </a:prstGeom>
                  </pic:spPr>
                </pic:pic>
              </a:graphicData>
            </a:graphic>
          </wp:anchor>
        </w:drawing>
      </w:r>
    </w:p>
    <w:p w14:paraId="161DA3F0" w14:textId="77777777" w:rsidR="002D4DF5" w:rsidRDefault="002D4DF5"/>
    <w:p w14:paraId="0A26F140" w14:textId="77777777" w:rsidR="002D4DF5" w:rsidRDefault="002D4DF5"/>
    <w:p w14:paraId="1301ED88" w14:textId="77777777" w:rsidR="002D4DF5" w:rsidRDefault="002D4DF5"/>
    <w:p w14:paraId="4C02469C" w14:textId="77777777" w:rsidR="002D4DF5" w:rsidRDefault="002D4DF5"/>
    <w:p w14:paraId="0E5B9E19" w14:textId="77777777" w:rsidR="002D4DF5" w:rsidRDefault="002D4DF5"/>
    <w:p w14:paraId="6BCCED3C" w14:textId="77777777" w:rsidR="002D4DF5" w:rsidRDefault="002D4DF5"/>
    <w:p w14:paraId="2FB613EE" w14:textId="77777777" w:rsidR="002D4DF5" w:rsidRDefault="002D4DF5"/>
    <w:p w14:paraId="7727521F" w14:textId="77777777" w:rsidR="002D4DF5" w:rsidRDefault="002D4DF5"/>
    <w:p w14:paraId="3A866619" w14:textId="77777777" w:rsidR="002D4DF5" w:rsidRDefault="002D4DF5"/>
    <w:p w14:paraId="5107AA38" w14:textId="77777777" w:rsidR="002D4DF5" w:rsidRDefault="002D4DF5"/>
    <w:p w14:paraId="2E19F7B8" w14:textId="77777777" w:rsidR="002D4DF5" w:rsidRDefault="002D4DF5"/>
    <w:p w14:paraId="35410B5C" w14:textId="77777777" w:rsidR="002D4DF5" w:rsidRDefault="002D4DF5"/>
    <w:p w14:paraId="1B5DA722" w14:textId="77777777" w:rsidR="002D4DF5" w:rsidRDefault="002D4DF5"/>
    <w:p w14:paraId="72E18D9A" w14:textId="77777777" w:rsidR="002D4DF5" w:rsidRDefault="002D4DF5"/>
    <w:p w14:paraId="52024D5F" w14:textId="77777777" w:rsidR="002D4DF5" w:rsidRDefault="002D4DF5"/>
    <w:p w14:paraId="3D5F1C3D" w14:textId="21576370" w:rsidR="002D4DF5" w:rsidRDefault="0089199E">
      <w:pPr>
        <w:rPr>
          <w:b/>
          <w:bCs/>
          <w:sz w:val="20"/>
          <w:szCs w:val="20"/>
        </w:rPr>
      </w:pPr>
      <w:r>
        <w:rPr>
          <w:b/>
          <w:bCs/>
          <w:sz w:val="20"/>
          <w:szCs w:val="20"/>
        </w:rPr>
        <w:t xml:space="preserve">Figure </w:t>
      </w:r>
      <w:r w:rsidR="00F30A4A">
        <w:rPr>
          <w:b/>
          <w:bCs/>
          <w:sz w:val="20"/>
          <w:szCs w:val="20"/>
        </w:rPr>
        <w:t>5.</w:t>
      </w:r>
      <w:r>
        <w:rPr>
          <w:b/>
          <w:bCs/>
          <w:sz w:val="20"/>
          <w:szCs w:val="20"/>
        </w:rPr>
        <w:t xml:space="preserve">2. </w:t>
      </w:r>
      <w:bookmarkStart w:id="36" w:name="_Hlk95543562"/>
      <w:r>
        <w:rPr>
          <w:b/>
          <w:bCs/>
          <w:sz w:val="20"/>
          <w:szCs w:val="20"/>
        </w:rPr>
        <w:t xml:space="preserve">Manager budgets and community resources (user budget) for the five scenarios. </w:t>
      </w:r>
      <w:bookmarkEnd w:id="36"/>
      <w:r>
        <w:rPr>
          <w:b/>
          <w:bCs/>
          <w:sz w:val="20"/>
          <w:szCs w:val="20"/>
        </w:rPr>
        <w:t>Scenarios 4 and 5 have a different manager budget for each replicate simulation, and so this figure shows 10 examples for each.</w:t>
      </w:r>
    </w:p>
    <w:p w14:paraId="04CB2B21" w14:textId="77777777" w:rsidR="002D4DF5" w:rsidRDefault="002D4DF5"/>
    <w:p w14:paraId="014231BC" w14:textId="36B46C0B" w:rsidR="002D4DF5" w:rsidRDefault="00F01069">
      <w:pPr>
        <w:rPr>
          <w:b/>
          <w:bCs/>
        </w:rPr>
      </w:pPr>
      <w:r>
        <w:rPr>
          <w:b/>
          <w:bCs/>
        </w:rPr>
        <w:t xml:space="preserve">5.4. </w:t>
      </w:r>
      <w:r w:rsidR="0089199E">
        <w:rPr>
          <w:b/>
          <w:bCs/>
        </w:rPr>
        <w:t>R</w:t>
      </w:r>
      <w:r>
        <w:rPr>
          <w:b/>
          <w:bCs/>
        </w:rPr>
        <w:t>ESULTS</w:t>
      </w:r>
      <w:r w:rsidR="0089199E">
        <w:rPr>
          <w:b/>
          <w:bCs/>
        </w:rPr>
        <w:t xml:space="preserve"> </w:t>
      </w:r>
    </w:p>
    <w:p w14:paraId="637ABB3B" w14:textId="76198E04" w:rsidR="002D4DF5" w:rsidRDefault="0089199E">
      <w:r>
        <w:t xml:space="preserve">The parameter settings used in the simulations ensured that communities would try and fell trees, thus increasing their yield, if it was possible to do so given the policy set by the manager. The values and positive slope of the community resources ensured that communities had sufficient power to clear the majority of the forest by the end of the </w:t>
      </w:r>
      <w:proofErr w:type="gramStart"/>
      <w:r>
        <w:t>50 time</w:t>
      </w:r>
      <w:proofErr w:type="gramEnd"/>
      <w:r>
        <w:t xml:space="preserve"> steps in all scenarios (Table </w:t>
      </w:r>
      <w:r w:rsidR="00AC0CD1">
        <w:t>5.</w:t>
      </w:r>
      <w:r>
        <w:t xml:space="preserve">2). These extreme parameter settings resulted in clear differences in the deforestation trajectories between the scenarios (Figures </w:t>
      </w:r>
      <w:r w:rsidR="00D247E2">
        <w:t>5.</w:t>
      </w:r>
      <w:r>
        <w:t xml:space="preserve">3 and </w:t>
      </w:r>
      <w:r w:rsidR="00D247E2">
        <w:t>5.</w:t>
      </w:r>
      <w:r>
        <w:t xml:space="preserve">4). </w:t>
      </w:r>
    </w:p>
    <w:p w14:paraId="766DC0A4" w14:textId="2B1D54AF" w:rsidR="002D4DF5" w:rsidRPr="00F01069" w:rsidRDefault="00F01069">
      <w:pPr>
        <w:rPr>
          <w:b/>
          <w:bCs/>
          <w:i/>
          <w:iCs/>
        </w:rPr>
      </w:pPr>
      <w:r w:rsidRPr="00F01069">
        <w:rPr>
          <w:b/>
          <w:bCs/>
          <w:i/>
          <w:iCs/>
        </w:rPr>
        <w:t xml:space="preserve">5.4.1. </w:t>
      </w:r>
      <w:r w:rsidR="0089199E" w:rsidRPr="00F01069">
        <w:rPr>
          <w:b/>
          <w:bCs/>
          <w:i/>
          <w:iCs/>
        </w:rPr>
        <w:t>Scenarios 1 to 3</w:t>
      </w:r>
    </w:p>
    <w:p w14:paraId="6B8442B2" w14:textId="7881E3DD" w:rsidR="002D4DF5" w:rsidRDefault="0089199E">
      <w:r>
        <w:t xml:space="preserve">Of the three primary funding models, scenario 1 was the most effective at minimising deforestation over the </w:t>
      </w:r>
      <w:proofErr w:type="gramStart"/>
      <w:r>
        <w:t>50 time</w:t>
      </w:r>
      <w:proofErr w:type="gramEnd"/>
      <w:r>
        <w:t xml:space="preserve"> steps (Figure </w:t>
      </w:r>
      <w:r w:rsidR="00D247E2">
        <w:t>5.</w:t>
      </w:r>
      <w:r>
        <w:t xml:space="preserve">3). In all time steps, excluding time steps 4 to 9, scenario 1 retained the highest number of trees. This is despite having a felling count that increased linearly throughout the simulation (Figure </w:t>
      </w:r>
      <w:r w:rsidR="00D247E2">
        <w:t>5.</w:t>
      </w:r>
      <w:r>
        <w:t xml:space="preserve">5). The increasing felling count in scenario 1 resulted in the loss of trees accelerating over time (Figure </w:t>
      </w:r>
      <w:r w:rsidR="00D247E2">
        <w:t>5.</w:t>
      </w:r>
      <w:r>
        <w:t xml:space="preserve">3). Conversely, scenario 2 had a decelerating felling count over time (Figure </w:t>
      </w:r>
      <w:r w:rsidR="00D247E2">
        <w:t>5.</w:t>
      </w:r>
      <w:r>
        <w:t xml:space="preserve">5) as the manager budget increased, resulting in a deforestation rate that slowed over time (Figure </w:t>
      </w:r>
      <w:r w:rsidR="00D247E2">
        <w:t>5.</w:t>
      </w:r>
      <w:r>
        <w:t xml:space="preserve">3). Nevertheless, the low starting manager budget values for scenario 2, which were lower than scenario 1 for the first half of the simulation period, resulted in higher deforestation overall </w:t>
      </w:r>
      <w:r>
        <w:lastRenderedPageBreak/>
        <w:t xml:space="preserve">(Figure </w:t>
      </w:r>
      <w:r w:rsidR="00D247E2">
        <w:t>5.</w:t>
      </w:r>
      <w:r>
        <w:t>3). Scenario 2 performed worse than all other scenarios (including scenarios 4 and 5) for the first half of the simulation period (Figure S5</w:t>
      </w:r>
      <w:r w:rsidR="00420BFE">
        <w:t>.11</w:t>
      </w:r>
      <w:r>
        <w:t xml:space="preserve">), highlighting the effects of chronic underfunding. The fluctuations in the manager budget in scenario 3 is reflected in both the rate of deforestation (Figure </w:t>
      </w:r>
      <w:r w:rsidR="00D247E2">
        <w:t>5.</w:t>
      </w:r>
      <w:r>
        <w:t xml:space="preserve">3) and the felling count (Figure </w:t>
      </w:r>
      <w:r w:rsidR="00D247E2">
        <w:t>5.</w:t>
      </w:r>
      <w:r>
        <w:t xml:space="preserve">5). During periods of high manager budget, the felling count and deforestation rate decreases, and during periods of low manager budget, the felling count and deforestation rate increase. Despite the peaks in manager budget in scenario 3 regularly reaching values much higher than the manager budget in scenario 1, this funding model had </w:t>
      </w:r>
      <w:r w:rsidR="005E18D6">
        <w:t>worse</w:t>
      </w:r>
      <w:r>
        <w:t xml:space="preserve"> outcome in terms of forest loss than scenarios 1 and 2 (Figure </w:t>
      </w:r>
      <w:r w:rsidR="00D247E2">
        <w:t>5.</w:t>
      </w:r>
      <w:r>
        <w:t xml:space="preserve">3) and resulted in complete loss of forest cover in 93% of simulations (Table </w:t>
      </w:r>
      <w:r w:rsidR="00D247E2">
        <w:t>5.</w:t>
      </w:r>
      <w:r>
        <w:t xml:space="preserve">2). This can be explained by the felling count which shows that during periods of very low manager budget, the number of trees lost is between two and three times greater than any point in scenarios 1 and 2 (Figure </w:t>
      </w:r>
      <w:r w:rsidR="00D247E2">
        <w:t>5.</w:t>
      </w:r>
      <w:r>
        <w:t xml:space="preserve">5). </w:t>
      </w:r>
    </w:p>
    <w:p w14:paraId="4BFF8EE4" w14:textId="44D6D4C4" w:rsidR="002D4DF5" w:rsidRPr="00F01069" w:rsidRDefault="00F01069">
      <w:pPr>
        <w:rPr>
          <w:b/>
          <w:bCs/>
          <w:i/>
          <w:iCs/>
        </w:rPr>
      </w:pPr>
      <w:r>
        <w:rPr>
          <w:b/>
          <w:bCs/>
          <w:i/>
          <w:iCs/>
        </w:rPr>
        <w:t xml:space="preserve">5.4.2. </w:t>
      </w:r>
      <w:r w:rsidR="0089199E" w:rsidRPr="00F01069">
        <w:rPr>
          <w:b/>
          <w:bCs/>
          <w:i/>
          <w:iCs/>
        </w:rPr>
        <w:t>Scenarios 4 and 5</w:t>
      </w:r>
    </w:p>
    <w:p w14:paraId="26198DC8" w14:textId="7FFDC1D4" w:rsidR="002D4DF5" w:rsidRDefault="0089199E">
      <w:r>
        <w:t>Scenarios 4 and 5 showed the potential effects of unpredictable and uncertain funding models on forest loss. Scenario 4 had less variation in manager budgets than scenario 5, and the simulations wer</w:t>
      </w:r>
      <w:r w:rsidR="00E97137">
        <w:t>e</w:t>
      </w:r>
      <w:r>
        <w:t xml:space="preserve"> more likely to</w:t>
      </w:r>
      <w:r w:rsidR="00E97137">
        <w:t xml:space="preserve"> have</w:t>
      </w:r>
      <w:r>
        <w:t xml:space="preserve"> retain</w:t>
      </w:r>
      <w:r w:rsidR="00E97137">
        <w:t>ed</w:t>
      </w:r>
      <w:r>
        <w:t xml:space="preserve"> </w:t>
      </w:r>
      <w:r w:rsidR="00E97137">
        <w:t>greater</w:t>
      </w:r>
      <w:r>
        <w:t xml:space="preserve"> forest cover</w:t>
      </w:r>
      <w:r w:rsidR="00E97137">
        <w:t xml:space="preserve"> at any given time step</w:t>
      </w:r>
      <w:r>
        <w:t xml:space="preserve"> than scenario 5 (Figure </w:t>
      </w:r>
      <w:r w:rsidR="00D247E2">
        <w:t>5.</w:t>
      </w:r>
      <w:r>
        <w:t>4) across the 100 simulations. Interestingly, deforestation rates for scenario 4 were very similar to those of scenario 1, and scenario 4 outperformed scenarios 2 and 3 in most cases (Figure S5</w:t>
      </w:r>
      <w:r w:rsidR="00420BFE">
        <w:t>.11</w:t>
      </w:r>
      <w:r>
        <w:t xml:space="preserve">). This suggests that unpredictable variation in manager budgets is not necessarily catastrophic, provided fluctuations are small and that some level of core funding means that manager budgets do not drop too low (Figure </w:t>
      </w:r>
      <w:r w:rsidR="00D247E2">
        <w:t>5.</w:t>
      </w:r>
      <w:r>
        <w:t xml:space="preserve">2). Scenario 5 showed that large uncertainty and variability in manager budget could have very serious negative effects on forest cover over time (Figure </w:t>
      </w:r>
      <w:r w:rsidR="00D247E2">
        <w:t>5.</w:t>
      </w:r>
      <w:r>
        <w:t xml:space="preserve">4). Despite many of the scenario 5 replicates having very high peaks in manager budgets (Figure </w:t>
      </w:r>
      <w:r w:rsidR="00D247E2">
        <w:t>5.</w:t>
      </w:r>
      <w:r>
        <w:t xml:space="preserve">2), most simulations resulted in a worse outcome than scenario 4 in terms of forest cover. Of the 100 simulations, </w:t>
      </w:r>
      <w:r w:rsidR="00D24518">
        <w:t>complete forest loss</w:t>
      </w:r>
      <w:r>
        <w:t xml:space="preserve"> occurred 25 times (25%) in scenario 5 (Table </w:t>
      </w:r>
      <w:r w:rsidR="00D247E2">
        <w:t>5.</w:t>
      </w:r>
      <w:r>
        <w:t xml:space="preserve">2). As with scenario 3, the driver of forest loss can be seen in the felling counts for scenario 5, which reach extremely high levels during periods of low manager budget (Figure </w:t>
      </w:r>
      <w:r w:rsidR="00D247E2">
        <w:t>5.</w:t>
      </w:r>
      <w:r>
        <w:t xml:space="preserve">5).  </w:t>
      </w:r>
    </w:p>
    <w:p w14:paraId="3D60FA0A" w14:textId="0AFE6281" w:rsidR="002D4DF5" w:rsidRPr="00F01069" w:rsidRDefault="00F01069">
      <w:pPr>
        <w:rPr>
          <w:b/>
          <w:bCs/>
          <w:i/>
          <w:iCs/>
        </w:rPr>
      </w:pPr>
      <w:r>
        <w:rPr>
          <w:b/>
          <w:bCs/>
          <w:i/>
          <w:iCs/>
        </w:rPr>
        <w:t xml:space="preserve">5.4.3. </w:t>
      </w:r>
      <w:r w:rsidR="0089199E" w:rsidRPr="00F01069">
        <w:rPr>
          <w:b/>
          <w:bCs/>
          <w:i/>
          <w:iCs/>
        </w:rPr>
        <w:t>Maximum harvest under maximum conflict</w:t>
      </w:r>
      <w:r w:rsidR="00A83A57" w:rsidRPr="00F01069">
        <w:rPr>
          <w:b/>
          <w:bCs/>
          <w:i/>
          <w:iCs/>
        </w:rPr>
        <w:t xml:space="preserve"> (MHMC)</w:t>
      </w:r>
    </w:p>
    <w:p w14:paraId="4C6516F1" w14:textId="6C914DBA" w:rsidR="002D4DF5" w:rsidRDefault="0089199E">
      <w:r>
        <w:t xml:space="preserve">The MHMC calculations revealed some of the power dynamics within each of the scenarios (Figure </w:t>
      </w:r>
      <w:r w:rsidR="00D247E2">
        <w:t>5.</w:t>
      </w:r>
      <w:r>
        <w:t xml:space="preserve">6). The maximum number of trees that the communities could fell at a given time step decreased over time in scenario 2, reflecting the increasing manager budget that provided increasing power to the manager to set policy and affect the number of felling actions. The rate at which the MHMC value decreased in scenario 2 was itself decreasing, stabilising to a near-constant rate by the end of the simulation period. This reflects the increases in community resources over time, which were increasing at a faster rate than the increase in the manager budget (Figure </w:t>
      </w:r>
      <w:r w:rsidR="00D247E2">
        <w:t>5.</w:t>
      </w:r>
      <w:r>
        <w:t xml:space="preserve">2), resulting in decreasing power for the manager. Scenarios 1 and 4 had the most stable MHMC values, reflecting the relatively stable manager budgets. The MHMC values for scenarios 3 and 5 reflected the fluctuating and highly variable manager budgets and demonstrated how the rate of forest loss could increase during periods of low manager funding. When the manager had little funding there was an increase in the potential number of trees the communities could fell, assuming the manager was using all their budget to reduce felling and the communities were using all their budget to fell trees (Figure </w:t>
      </w:r>
      <w:r w:rsidR="00D247E2">
        <w:t>5.</w:t>
      </w:r>
      <w:r>
        <w:t xml:space="preserve">6). </w:t>
      </w:r>
    </w:p>
    <w:p w14:paraId="5D2DF610" w14:textId="77777777" w:rsidR="002D4DF5" w:rsidRDefault="002D4DF5"/>
    <w:p w14:paraId="4745ADD6" w14:textId="77777777" w:rsidR="002D4DF5" w:rsidRDefault="002D4DF5"/>
    <w:p w14:paraId="572AC568" w14:textId="77777777" w:rsidR="002D4DF5" w:rsidRDefault="0089199E">
      <w:r>
        <w:rPr>
          <w:noProof/>
        </w:rPr>
        <w:lastRenderedPageBreak/>
        <w:drawing>
          <wp:inline distT="0" distB="5715" distL="0" distR="0" wp14:anchorId="4973A706" wp14:editId="08BD16BA">
            <wp:extent cx="4937760" cy="3293035"/>
            <wp:effectExtent l="0" t="0" r="0" b="3175"/>
            <wp:docPr id="3"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 line chart&#10;&#10;Description automatically generated"/>
                    <pic:cNvPicPr>
                      <a:picLocks noChangeAspect="1" noChangeArrowheads="1"/>
                    </pic:cNvPicPr>
                  </pic:nvPicPr>
                  <pic:blipFill>
                    <a:blip r:embed="rId8"/>
                    <a:stretch>
                      <a:fillRect/>
                    </a:stretch>
                  </pic:blipFill>
                  <pic:spPr bwMode="auto">
                    <a:xfrm>
                      <a:off x="0" y="0"/>
                      <a:ext cx="4940405" cy="3294799"/>
                    </a:xfrm>
                    <a:prstGeom prst="rect">
                      <a:avLst/>
                    </a:prstGeom>
                  </pic:spPr>
                </pic:pic>
              </a:graphicData>
            </a:graphic>
          </wp:inline>
        </w:drawing>
      </w:r>
    </w:p>
    <w:p w14:paraId="1EE3F861" w14:textId="57E8CA3F" w:rsidR="002D4DF5" w:rsidRDefault="0089199E">
      <w:pPr>
        <w:rPr>
          <w:b/>
          <w:bCs/>
          <w:sz w:val="20"/>
          <w:szCs w:val="20"/>
        </w:rPr>
      </w:pPr>
      <w:bookmarkStart w:id="37" w:name="_Hlk95543589"/>
      <w:r>
        <w:rPr>
          <w:b/>
          <w:bCs/>
          <w:sz w:val="20"/>
          <w:szCs w:val="20"/>
        </w:rPr>
        <w:t xml:space="preserve">Figure </w:t>
      </w:r>
      <w:r w:rsidR="00F30A4A">
        <w:rPr>
          <w:b/>
          <w:bCs/>
          <w:sz w:val="20"/>
          <w:szCs w:val="20"/>
        </w:rPr>
        <w:t>5.</w:t>
      </w:r>
      <w:r>
        <w:rPr>
          <w:b/>
          <w:bCs/>
          <w:sz w:val="20"/>
          <w:szCs w:val="20"/>
        </w:rPr>
        <w:t xml:space="preserve">3. The number of trees remaining at each time step for scenarios 1, 2, and 3. </w:t>
      </w:r>
      <w:bookmarkEnd w:id="37"/>
      <w:r>
        <w:rPr>
          <w:b/>
          <w:bCs/>
          <w:sz w:val="20"/>
          <w:szCs w:val="20"/>
        </w:rPr>
        <w:t>Solid lines and faded ribbons are the 50, 2.5, and 97.5 percentiles from the 100 runs, respectively.</w:t>
      </w:r>
    </w:p>
    <w:p w14:paraId="2ABC73A9" w14:textId="77777777" w:rsidR="002D4DF5" w:rsidRDefault="002D4DF5"/>
    <w:p w14:paraId="1AADECBE" w14:textId="08BCFC30" w:rsidR="002D4DF5" w:rsidRDefault="00E537F0">
      <w:r>
        <w:rPr>
          <w:noProof/>
        </w:rPr>
        <w:drawing>
          <wp:inline distT="0" distB="0" distL="0" distR="0" wp14:anchorId="55236107" wp14:editId="17237B31">
            <wp:extent cx="5406690" cy="3604260"/>
            <wp:effectExtent l="0" t="0" r="381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10901" cy="3607067"/>
                    </a:xfrm>
                    <a:prstGeom prst="rect">
                      <a:avLst/>
                    </a:prstGeom>
                    <a:noFill/>
                    <a:ln>
                      <a:noFill/>
                    </a:ln>
                  </pic:spPr>
                </pic:pic>
              </a:graphicData>
            </a:graphic>
          </wp:inline>
        </w:drawing>
      </w:r>
    </w:p>
    <w:p w14:paraId="62949B4F" w14:textId="737A4394" w:rsidR="00571610" w:rsidRPr="00F01069" w:rsidRDefault="0089199E">
      <w:pPr>
        <w:rPr>
          <w:b/>
          <w:bCs/>
          <w:sz w:val="20"/>
          <w:szCs w:val="20"/>
        </w:rPr>
      </w:pPr>
      <w:bookmarkStart w:id="38" w:name="_Hlk95543605"/>
      <w:r>
        <w:rPr>
          <w:b/>
          <w:bCs/>
          <w:sz w:val="20"/>
          <w:szCs w:val="20"/>
        </w:rPr>
        <w:t xml:space="preserve">Figure </w:t>
      </w:r>
      <w:r w:rsidR="00F30A4A">
        <w:rPr>
          <w:b/>
          <w:bCs/>
          <w:sz w:val="20"/>
          <w:szCs w:val="20"/>
        </w:rPr>
        <w:t>5.</w:t>
      </w:r>
      <w:r>
        <w:rPr>
          <w:b/>
          <w:bCs/>
          <w:sz w:val="20"/>
          <w:szCs w:val="20"/>
        </w:rPr>
        <w:t xml:space="preserve">4. The number of trees remaining at each time step for scenarios 4 and 5. </w:t>
      </w:r>
      <w:bookmarkEnd w:id="38"/>
      <w:r>
        <w:rPr>
          <w:b/>
          <w:bCs/>
          <w:sz w:val="20"/>
          <w:szCs w:val="20"/>
        </w:rPr>
        <w:t xml:space="preserve">Solid lines and faded ribbons are the 50, 2.5, and 97.5 percentiles from the 100 runs, respectively. </w:t>
      </w:r>
    </w:p>
    <w:p w14:paraId="602AD93C" w14:textId="66DCAE22" w:rsidR="00571610" w:rsidRDefault="00571610"/>
    <w:p w14:paraId="3B11384D" w14:textId="77777777" w:rsidR="00571610" w:rsidRDefault="00571610"/>
    <w:p w14:paraId="1448B6C9" w14:textId="77777777" w:rsidR="002D4DF5" w:rsidRDefault="0089199E">
      <w:r>
        <w:rPr>
          <w:noProof/>
        </w:rPr>
        <w:lastRenderedPageBreak/>
        <w:drawing>
          <wp:inline distT="0" distB="5080" distL="0" distR="2540" wp14:anchorId="717A629F" wp14:editId="7F265EFA">
            <wp:extent cx="5731510" cy="4585970"/>
            <wp:effectExtent l="0" t="0" r="0" b="0"/>
            <wp:docPr id="5"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hart&#10;&#10;Description automatically generated"/>
                    <pic:cNvPicPr>
                      <a:picLocks noChangeAspect="1" noChangeArrowheads="1"/>
                    </pic:cNvPicPr>
                  </pic:nvPicPr>
                  <pic:blipFill>
                    <a:blip r:embed="rId10"/>
                    <a:stretch>
                      <a:fillRect/>
                    </a:stretch>
                  </pic:blipFill>
                  <pic:spPr bwMode="auto">
                    <a:xfrm>
                      <a:off x="0" y="0"/>
                      <a:ext cx="5731510" cy="4585970"/>
                    </a:xfrm>
                    <a:prstGeom prst="rect">
                      <a:avLst/>
                    </a:prstGeom>
                  </pic:spPr>
                </pic:pic>
              </a:graphicData>
            </a:graphic>
          </wp:inline>
        </w:drawing>
      </w:r>
    </w:p>
    <w:p w14:paraId="4498FDE8" w14:textId="1FBA0674" w:rsidR="002D4DF5" w:rsidRDefault="0089199E">
      <w:pPr>
        <w:rPr>
          <w:b/>
          <w:bCs/>
          <w:sz w:val="20"/>
          <w:szCs w:val="20"/>
        </w:rPr>
      </w:pPr>
      <w:bookmarkStart w:id="39" w:name="_Hlk95543620"/>
      <w:r>
        <w:rPr>
          <w:b/>
          <w:bCs/>
          <w:sz w:val="20"/>
          <w:szCs w:val="20"/>
        </w:rPr>
        <w:t xml:space="preserve">Figure </w:t>
      </w:r>
      <w:r w:rsidR="00F30A4A">
        <w:rPr>
          <w:b/>
          <w:bCs/>
          <w:sz w:val="20"/>
          <w:szCs w:val="20"/>
        </w:rPr>
        <w:t>5.</w:t>
      </w:r>
      <w:r>
        <w:rPr>
          <w:b/>
          <w:bCs/>
          <w:sz w:val="20"/>
          <w:szCs w:val="20"/>
        </w:rPr>
        <w:t xml:space="preserve">5. The count of felling actions taken by all communities at each time step for the five scenarios. </w:t>
      </w:r>
      <w:bookmarkEnd w:id="39"/>
      <w:r>
        <w:rPr>
          <w:b/>
          <w:bCs/>
          <w:sz w:val="20"/>
          <w:szCs w:val="20"/>
        </w:rPr>
        <w:t xml:space="preserve">Solid lines and faded ribbons are the 50, 2.5, and 97.5 percentiles from the 100 runs, respectively. </w:t>
      </w:r>
    </w:p>
    <w:p w14:paraId="3C5192A9" w14:textId="77777777" w:rsidR="002D4DF5" w:rsidRDefault="002D4DF5"/>
    <w:p w14:paraId="20742E05" w14:textId="77777777" w:rsidR="002D4DF5" w:rsidRDefault="0089199E">
      <w:r>
        <w:rPr>
          <w:noProof/>
        </w:rPr>
        <w:lastRenderedPageBreak/>
        <w:drawing>
          <wp:inline distT="0" distB="0" distL="0" distR="0" wp14:anchorId="7E168857" wp14:editId="4179649F">
            <wp:extent cx="5285740" cy="4229100"/>
            <wp:effectExtent l="0" t="0" r="0" b="0"/>
            <wp:docPr id="6"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Chart, histogram&#10;&#10;Description automatically generated"/>
                    <pic:cNvPicPr>
                      <a:picLocks noChangeAspect="1" noChangeArrowheads="1"/>
                    </pic:cNvPicPr>
                  </pic:nvPicPr>
                  <pic:blipFill>
                    <a:blip r:embed="rId11"/>
                    <a:stretch>
                      <a:fillRect/>
                    </a:stretch>
                  </pic:blipFill>
                  <pic:spPr bwMode="auto">
                    <a:xfrm>
                      <a:off x="0" y="0"/>
                      <a:ext cx="5285740" cy="4229100"/>
                    </a:xfrm>
                    <a:prstGeom prst="rect">
                      <a:avLst/>
                    </a:prstGeom>
                  </pic:spPr>
                </pic:pic>
              </a:graphicData>
            </a:graphic>
          </wp:inline>
        </w:drawing>
      </w:r>
    </w:p>
    <w:p w14:paraId="24163A61" w14:textId="7DDDB434" w:rsidR="002D4DF5" w:rsidRDefault="0089199E">
      <w:pPr>
        <w:rPr>
          <w:b/>
          <w:bCs/>
          <w:sz w:val="20"/>
          <w:szCs w:val="20"/>
        </w:rPr>
      </w:pPr>
      <w:bookmarkStart w:id="40" w:name="_Hlk95543647"/>
      <w:r>
        <w:rPr>
          <w:b/>
          <w:bCs/>
          <w:sz w:val="20"/>
          <w:szCs w:val="20"/>
        </w:rPr>
        <w:t xml:space="preserve">Figure </w:t>
      </w:r>
      <w:r w:rsidR="0007281E">
        <w:rPr>
          <w:b/>
          <w:bCs/>
          <w:sz w:val="20"/>
          <w:szCs w:val="20"/>
        </w:rPr>
        <w:t>5.</w:t>
      </w:r>
      <w:r>
        <w:rPr>
          <w:b/>
          <w:bCs/>
          <w:sz w:val="20"/>
          <w:szCs w:val="20"/>
        </w:rPr>
        <w:t xml:space="preserve">6. Calculated maximum harvest under maximum conflict (MHUMC) for all five scenarios. </w:t>
      </w:r>
      <w:bookmarkEnd w:id="40"/>
      <w:r>
        <w:rPr>
          <w:b/>
          <w:bCs/>
          <w:sz w:val="20"/>
          <w:szCs w:val="20"/>
        </w:rPr>
        <w:t xml:space="preserve">MHUMC is calculated </w:t>
      </w:r>
      <w:proofErr w:type="gramStart"/>
      <w:r>
        <w:rPr>
          <w:b/>
          <w:bCs/>
          <w:sz w:val="20"/>
          <w:szCs w:val="20"/>
        </w:rPr>
        <w:t>using:</w:t>
      </w:r>
      <w:proofErr w:type="gramEnd"/>
      <w:r>
        <w:rPr>
          <w:b/>
          <w:bCs/>
          <w:sz w:val="20"/>
          <w:szCs w:val="20"/>
        </w:rPr>
        <w:t xml:space="preserve"> community resources / ((manager budget/10) + 10). The value is the maximum number of trees that could be felled if the manager was using all their available budget to prevent felling, and the community were using all their available resources to fell trees. The lines for scenarios 4 and 5 (which had different manager budgets for each replicate simulation) represent the mean MHMC value at each time step across all replicate simulations. </w:t>
      </w:r>
    </w:p>
    <w:p w14:paraId="03CA5670" w14:textId="77777777" w:rsidR="002D4DF5" w:rsidRDefault="002D4DF5">
      <w:pPr>
        <w:rPr>
          <w:b/>
          <w:bCs/>
          <w:sz w:val="20"/>
          <w:szCs w:val="20"/>
        </w:rPr>
      </w:pPr>
    </w:p>
    <w:p w14:paraId="0462A6D6" w14:textId="35544B37" w:rsidR="002D4DF5" w:rsidRDefault="0089199E">
      <w:pPr>
        <w:rPr>
          <w:b/>
          <w:bCs/>
          <w:sz w:val="20"/>
          <w:szCs w:val="20"/>
        </w:rPr>
      </w:pPr>
      <w:bookmarkStart w:id="41" w:name="_Hlk95543678"/>
      <w:r>
        <w:rPr>
          <w:b/>
          <w:bCs/>
          <w:sz w:val="20"/>
          <w:szCs w:val="20"/>
        </w:rPr>
        <w:t xml:space="preserve">Table </w:t>
      </w:r>
      <w:r w:rsidR="0007281E">
        <w:rPr>
          <w:b/>
          <w:bCs/>
          <w:sz w:val="20"/>
          <w:szCs w:val="20"/>
        </w:rPr>
        <w:t>5.</w:t>
      </w:r>
      <w:r>
        <w:rPr>
          <w:b/>
          <w:bCs/>
          <w:sz w:val="20"/>
          <w:szCs w:val="20"/>
        </w:rPr>
        <w:t xml:space="preserve">2. Summary of the number of trees remaining at time step 50 (2.5, 50, 97.5 percentiles), and the number of </w:t>
      </w:r>
      <w:r w:rsidR="00D24518">
        <w:rPr>
          <w:b/>
          <w:bCs/>
          <w:sz w:val="20"/>
          <w:szCs w:val="20"/>
        </w:rPr>
        <w:t>simulations that resulted in complete forest loss</w:t>
      </w:r>
      <w:r>
        <w:rPr>
          <w:b/>
          <w:bCs/>
          <w:sz w:val="20"/>
          <w:szCs w:val="20"/>
        </w:rPr>
        <w:t>, from the 100 replicates for each of the five scenarios.</w:t>
      </w:r>
    </w:p>
    <w:tbl>
      <w:tblPr>
        <w:tblStyle w:val="TableGrid"/>
        <w:tblW w:w="8784" w:type="dxa"/>
        <w:tblLook w:val="04A0" w:firstRow="1" w:lastRow="0" w:firstColumn="1" w:lastColumn="0" w:noHBand="0" w:noVBand="1"/>
      </w:tblPr>
      <w:tblGrid>
        <w:gridCol w:w="1412"/>
        <w:gridCol w:w="1276"/>
        <w:gridCol w:w="1842"/>
        <w:gridCol w:w="1985"/>
        <w:gridCol w:w="2269"/>
      </w:tblGrid>
      <w:tr w:rsidR="002D4DF5" w14:paraId="09FC23CA" w14:textId="77777777">
        <w:tc>
          <w:tcPr>
            <w:tcW w:w="1412" w:type="dxa"/>
            <w:vMerge w:val="restart"/>
            <w:tcBorders>
              <w:top w:val="single" w:sz="12" w:space="0" w:color="000000"/>
              <w:left w:val="nil"/>
              <w:bottom w:val="nil"/>
              <w:right w:val="nil"/>
            </w:tcBorders>
            <w:shd w:val="clear" w:color="auto" w:fill="auto"/>
            <w:vAlign w:val="center"/>
          </w:tcPr>
          <w:bookmarkEnd w:id="41"/>
          <w:p w14:paraId="57A7104B" w14:textId="77777777" w:rsidR="002D4DF5" w:rsidRDefault="0089199E">
            <w:pPr>
              <w:spacing w:after="0" w:line="240" w:lineRule="auto"/>
              <w:jc w:val="center"/>
            </w:pPr>
            <w:r>
              <w:t>Scenario</w:t>
            </w:r>
          </w:p>
        </w:tc>
        <w:tc>
          <w:tcPr>
            <w:tcW w:w="5103" w:type="dxa"/>
            <w:gridSpan w:val="3"/>
            <w:tcBorders>
              <w:top w:val="single" w:sz="12" w:space="0" w:color="000000"/>
              <w:left w:val="nil"/>
              <w:bottom w:val="single" w:sz="6" w:space="0" w:color="000000"/>
              <w:right w:val="nil"/>
            </w:tcBorders>
            <w:shd w:val="clear" w:color="auto" w:fill="auto"/>
            <w:vAlign w:val="center"/>
          </w:tcPr>
          <w:p w14:paraId="3F29020F" w14:textId="77777777" w:rsidR="002D4DF5" w:rsidRDefault="0089199E">
            <w:pPr>
              <w:spacing w:after="0" w:line="240" w:lineRule="auto"/>
              <w:jc w:val="center"/>
            </w:pPr>
            <w:r>
              <w:t xml:space="preserve">Trees remaining after </w:t>
            </w:r>
            <w:proofErr w:type="gramStart"/>
            <w:r>
              <w:t>50 time</w:t>
            </w:r>
            <w:proofErr w:type="gramEnd"/>
            <w:r>
              <w:t xml:space="preserve"> steps</w:t>
            </w:r>
          </w:p>
        </w:tc>
        <w:tc>
          <w:tcPr>
            <w:tcW w:w="2269" w:type="dxa"/>
            <w:vMerge w:val="restart"/>
            <w:tcBorders>
              <w:top w:val="single" w:sz="12" w:space="0" w:color="000000"/>
              <w:left w:val="nil"/>
              <w:bottom w:val="nil"/>
              <w:right w:val="nil"/>
            </w:tcBorders>
            <w:shd w:val="clear" w:color="auto" w:fill="auto"/>
            <w:vAlign w:val="center"/>
          </w:tcPr>
          <w:p w14:paraId="2340DA1C" w14:textId="3D0527F7" w:rsidR="002D4DF5" w:rsidRDefault="00D24518">
            <w:pPr>
              <w:spacing w:after="0" w:line="240" w:lineRule="auto"/>
              <w:jc w:val="center"/>
            </w:pPr>
            <w:r>
              <w:t>C</w:t>
            </w:r>
            <w:r w:rsidR="0089199E">
              <w:t>omplet</w:t>
            </w:r>
            <w:r>
              <w:t>e</w:t>
            </w:r>
            <w:r w:rsidR="0089199E">
              <w:t xml:space="preserve"> forest loss (</w:t>
            </w:r>
            <w:r>
              <w:t>no. of simulations</w:t>
            </w:r>
            <w:r w:rsidR="0089199E">
              <w:t>)</w:t>
            </w:r>
          </w:p>
        </w:tc>
      </w:tr>
      <w:tr w:rsidR="002D4DF5" w14:paraId="4994A442" w14:textId="77777777">
        <w:tc>
          <w:tcPr>
            <w:tcW w:w="1412" w:type="dxa"/>
            <w:vMerge/>
            <w:tcBorders>
              <w:top w:val="nil"/>
              <w:left w:val="nil"/>
              <w:bottom w:val="single" w:sz="12" w:space="0" w:color="000000"/>
              <w:right w:val="nil"/>
            </w:tcBorders>
            <w:shd w:val="clear" w:color="auto" w:fill="auto"/>
            <w:vAlign w:val="center"/>
          </w:tcPr>
          <w:p w14:paraId="28F5B807" w14:textId="77777777" w:rsidR="002D4DF5" w:rsidRDefault="002D4DF5">
            <w:pPr>
              <w:spacing w:after="0" w:line="240" w:lineRule="auto"/>
              <w:jc w:val="center"/>
            </w:pPr>
          </w:p>
        </w:tc>
        <w:tc>
          <w:tcPr>
            <w:tcW w:w="1276" w:type="dxa"/>
            <w:tcBorders>
              <w:top w:val="single" w:sz="6" w:space="0" w:color="000000"/>
              <w:left w:val="nil"/>
              <w:bottom w:val="single" w:sz="12" w:space="0" w:color="000000"/>
              <w:right w:val="nil"/>
            </w:tcBorders>
            <w:shd w:val="clear" w:color="auto" w:fill="auto"/>
            <w:vAlign w:val="center"/>
          </w:tcPr>
          <w:p w14:paraId="75A1AE7F" w14:textId="77777777" w:rsidR="002D4DF5" w:rsidRDefault="0089199E">
            <w:pPr>
              <w:spacing w:after="0" w:line="240" w:lineRule="auto"/>
              <w:jc w:val="center"/>
            </w:pPr>
            <w:r>
              <w:t>Mean</w:t>
            </w:r>
          </w:p>
        </w:tc>
        <w:tc>
          <w:tcPr>
            <w:tcW w:w="1842" w:type="dxa"/>
            <w:tcBorders>
              <w:top w:val="single" w:sz="6" w:space="0" w:color="000000"/>
              <w:left w:val="nil"/>
              <w:bottom w:val="single" w:sz="12" w:space="0" w:color="000000"/>
              <w:right w:val="nil"/>
            </w:tcBorders>
            <w:shd w:val="clear" w:color="auto" w:fill="auto"/>
            <w:vAlign w:val="center"/>
          </w:tcPr>
          <w:p w14:paraId="56B022B0" w14:textId="77777777" w:rsidR="002D4DF5" w:rsidRDefault="0089199E">
            <w:pPr>
              <w:spacing w:after="0" w:line="240" w:lineRule="auto"/>
              <w:jc w:val="center"/>
            </w:pPr>
            <w:r>
              <w:t>2.5 percentile</w:t>
            </w:r>
          </w:p>
        </w:tc>
        <w:tc>
          <w:tcPr>
            <w:tcW w:w="1985" w:type="dxa"/>
            <w:tcBorders>
              <w:top w:val="single" w:sz="6" w:space="0" w:color="000000"/>
              <w:left w:val="nil"/>
              <w:bottom w:val="single" w:sz="12" w:space="0" w:color="000000"/>
              <w:right w:val="nil"/>
            </w:tcBorders>
            <w:shd w:val="clear" w:color="auto" w:fill="auto"/>
            <w:vAlign w:val="center"/>
          </w:tcPr>
          <w:p w14:paraId="3E2FB126" w14:textId="77777777" w:rsidR="002D4DF5" w:rsidRDefault="0089199E">
            <w:pPr>
              <w:spacing w:after="0" w:line="240" w:lineRule="auto"/>
              <w:jc w:val="center"/>
            </w:pPr>
            <w:r>
              <w:t>97.5 percentile</w:t>
            </w:r>
          </w:p>
        </w:tc>
        <w:tc>
          <w:tcPr>
            <w:tcW w:w="2269" w:type="dxa"/>
            <w:vMerge/>
            <w:tcBorders>
              <w:top w:val="nil"/>
              <w:left w:val="nil"/>
              <w:bottom w:val="single" w:sz="12" w:space="0" w:color="000000"/>
              <w:right w:val="nil"/>
            </w:tcBorders>
            <w:shd w:val="clear" w:color="auto" w:fill="auto"/>
            <w:vAlign w:val="center"/>
          </w:tcPr>
          <w:p w14:paraId="46ABD845" w14:textId="77777777" w:rsidR="002D4DF5" w:rsidRDefault="002D4DF5">
            <w:pPr>
              <w:spacing w:after="0" w:line="240" w:lineRule="auto"/>
              <w:jc w:val="center"/>
            </w:pPr>
          </w:p>
        </w:tc>
      </w:tr>
      <w:tr w:rsidR="002D4DF5" w14:paraId="76157D53" w14:textId="77777777">
        <w:tc>
          <w:tcPr>
            <w:tcW w:w="1412" w:type="dxa"/>
            <w:tcBorders>
              <w:top w:val="single" w:sz="12" w:space="0" w:color="000000"/>
              <w:left w:val="nil"/>
              <w:bottom w:val="nil"/>
              <w:right w:val="nil"/>
            </w:tcBorders>
            <w:shd w:val="clear" w:color="auto" w:fill="auto"/>
            <w:vAlign w:val="center"/>
          </w:tcPr>
          <w:p w14:paraId="666E65F8" w14:textId="77777777" w:rsidR="002D4DF5" w:rsidRDefault="0089199E">
            <w:pPr>
              <w:spacing w:after="0" w:line="240" w:lineRule="auto"/>
              <w:jc w:val="center"/>
            </w:pPr>
            <w:r>
              <w:t>1</w:t>
            </w:r>
          </w:p>
        </w:tc>
        <w:tc>
          <w:tcPr>
            <w:tcW w:w="1276" w:type="dxa"/>
            <w:tcBorders>
              <w:top w:val="single" w:sz="12" w:space="0" w:color="000000"/>
              <w:left w:val="nil"/>
              <w:bottom w:val="nil"/>
              <w:right w:val="nil"/>
            </w:tcBorders>
            <w:shd w:val="clear" w:color="auto" w:fill="auto"/>
            <w:vAlign w:val="center"/>
          </w:tcPr>
          <w:p w14:paraId="344ACDCF" w14:textId="77777777" w:rsidR="002D4DF5" w:rsidRDefault="0089199E">
            <w:pPr>
              <w:spacing w:after="0" w:line="240" w:lineRule="auto"/>
              <w:jc w:val="center"/>
            </w:pPr>
            <w:r>
              <w:t>5857</w:t>
            </w:r>
          </w:p>
        </w:tc>
        <w:tc>
          <w:tcPr>
            <w:tcW w:w="1842" w:type="dxa"/>
            <w:tcBorders>
              <w:top w:val="single" w:sz="12" w:space="0" w:color="000000"/>
              <w:left w:val="nil"/>
              <w:bottom w:val="nil"/>
              <w:right w:val="nil"/>
            </w:tcBorders>
            <w:shd w:val="clear" w:color="auto" w:fill="auto"/>
            <w:vAlign w:val="center"/>
          </w:tcPr>
          <w:p w14:paraId="34C65B90" w14:textId="77777777" w:rsidR="002D4DF5" w:rsidRDefault="0089199E">
            <w:pPr>
              <w:spacing w:after="0" w:line="240" w:lineRule="auto"/>
              <w:jc w:val="center"/>
            </w:pPr>
            <w:r>
              <w:t>4660</w:t>
            </w:r>
          </w:p>
        </w:tc>
        <w:tc>
          <w:tcPr>
            <w:tcW w:w="1985" w:type="dxa"/>
            <w:tcBorders>
              <w:top w:val="single" w:sz="12" w:space="0" w:color="000000"/>
              <w:left w:val="nil"/>
              <w:bottom w:val="nil"/>
              <w:right w:val="nil"/>
            </w:tcBorders>
            <w:shd w:val="clear" w:color="auto" w:fill="auto"/>
            <w:vAlign w:val="center"/>
          </w:tcPr>
          <w:p w14:paraId="38B3633A" w14:textId="77777777" w:rsidR="002D4DF5" w:rsidRDefault="0089199E">
            <w:pPr>
              <w:spacing w:after="0" w:line="240" w:lineRule="auto"/>
              <w:jc w:val="center"/>
            </w:pPr>
            <w:r>
              <w:t>6412</w:t>
            </w:r>
          </w:p>
        </w:tc>
        <w:tc>
          <w:tcPr>
            <w:tcW w:w="2269" w:type="dxa"/>
            <w:tcBorders>
              <w:top w:val="single" w:sz="12" w:space="0" w:color="000000"/>
              <w:left w:val="nil"/>
              <w:bottom w:val="nil"/>
              <w:right w:val="nil"/>
            </w:tcBorders>
            <w:shd w:val="clear" w:color="auto" w:fill="auto"/>
            <w:vAlign w:val="center"/>
          </w:tcPr>
          <w:p w14:paraId="54F27F96" w14:textId="77777777" w:rsidR="002D4DF5" w:rsidRDefault="0089199E">
            <w:pPr>
              <w:spacing w:after="0" w:line="240" w:lineRule="auto"/>
              <w:jc w:val="center"/>
            </w:pPr>
            <w:r>
              <w:t>0</w:t>
            </w:r>
          </w:p>
        </w:tc>
      </w:tr>
      <w:tr w:rsidR="002D4DF5" w14:paraId="63C77AA4" w14:textId="77777777">
        <w:tc>
          <w:tcPr>
            <w:tcW w:w="1412" w:type="dxa"/>
            <w:tcBorders>
              <w:top w:val="nil"/>
              <w:left w:val="nil"/>
              <w:bottom w:val="nil"/>
              <w:right w:val="nil"/>
            </w:tcBorders>
            <w:shd w:val="clear" w:color="auto" w:fill="auto"/>
            <w:vAlign w:val="center"/>
          </w:tcPr>
          <w:p w14:paraId="3175BF35" w14:textId="77777777" w:rsidR="002D4DF5" w:rsidRDefault="0089199E">
            <w:pPr>
              <w:spacing w:after="0" w:line="240" w:lineRule="auto"/>
              <w:jc w:val="center"/>
            </w:pPr>
            <w:r>
              <w:t>2</w:t>
            </w:r>
          </w:p>
        </w:tc>
        <w:tc>
          <w:tcPr>
            <w:tcW w:w="1276" w:type="dxa"/>
            <w:tcBorders>
              <w:top w:val="nil"/>
              <w:left w:val="nil"/>
              <w:bottom w:val="nil"/>
              <w:right w:val="nil"/>
            </w:tcBorders>
            <w:shd w:val="clear" w:color="auto" w:fill="auto"/>
            <w:vAlign w:val="center"/>
          </w:tcPr>
          <w:p w14:paraId="0D351705" w14:textId="77777777" w:rsidR="002D4DF5" w:rsidRDefault="0089199E">
            <w:pPr>
              <w:spacing w:after="0" w:line="240" w:lineRule="auto"/>
              <w:jc w:val="center"/>
            </w:pPr>
            <w:r>
              <w:t>715</w:t>
            </w:r>
          </w:p>
        </w:tc>
        <w:tc>
          <w:tcPr>
            <w:tcW w:w="1842" w:type="dxa"/>
            <w:tcBorders>
              <w:top w:val="nil"/>
              <w:left w:val="nil"/>
              <w:bottom w:val="nil"/>
              <w:right w:val="nil"/>
            </w:tcBorders>
            <w:shd w:val="clear" w:color="auto" w:fill="auto"/>
            <w:vAlign w:val="center"/>
          </w:tcPr>
          <w:p w14:paraId="48C0C839" w14:textId="77777777" w:rsidR="002D4DF5" w:rsidRDefault="0089199E">
            <w:pPr>
              <w:spacing w:after="0" w:line="240" w:lineRule="auto"/>
              <w:jc w:val="center"/>
            </w:pPr>
            <w:r>
              <w:t>281</w:t>
            </w:r>
          </w:p>
        </w:tc>
        <w:tc>
          <w:tcPr>
            <w:tcW w:w="1985" w:type="dxa"/>
            <w:tcBorders>
              <w:top w:val="nil"/>
              <w:left w:val="nil"/>
              <w:bottom w:val="nil"/>
              <w:right w:val="nil"/>
            </w:tcBorders>
            <w:shd w:val="clear" w:color="auto" w:fill="auto"/>
            <w:vAlign w:val="center"/>
          </w:tcPr>
          <w:p w14:paraId="26CE0F65" w14:textId="77777777" w:rsidR="002D4DF5" w:rsidRDefault="0089199E">
            <w:pPr>
              <w:spacing w:after="0" w:line="240" w:lineRule="auto"/>
              <w:jc w:val="center"/>
            </w:pPr>
            <w:r>
              <w:t>1202</w:t>
            </w:r>
          </w:p>
        </w:tc>
        <w:tc>
          <w:tcPr>
            <w:tcW w:w="2269" w:type="dxa"/>
            <w:tcBorders>
              <w:top w:val="nil"/>
              <w:left w:val="nil"/>
              <w:bottom w:val="nil"/>
              <w:right w:val="nil"/>
            </w:tcBorders>
            <w:shd w:val="clear" w:color="auto" w:fill="auto"/>
            <w:vAlign w:val="center"/>
          </w:tcPr>
          <w:p w14:paraId="4A31639E" w14:textId="77777777" w:rsidR="002D4DF5" w:rsidRDefault="0089199E">
            <w:pPr>
              <w:spacing w:after="0" w:line="240" w:lineRule="auto"/>
              <w:jc w:val="center"/>
            </w:pPr>
            <w:r>
              <w:t>0</w:t>
            </w:r>
          </w:p>
        </w:tc>
      </w:tr>
      <w:tr w:rsidR="002D4DF5" w14:paraId="21F934FE" w14:textId="77777777">
        <w:tc>
          <w:tcPr>
            <w:tcW w:w="1412" w:type="dxa"/>
            <w:tcBorders>
              <w:top w:val="nil"/>
              <w:left w:val="nil"/>
              <w:bottom w:val="nil"/>
              <w:right w:val="nil"/>
            </w:tcBorders>
            <w:shd w:val="clear" w:color="auto" w:fill="auto"/>
            <w:vAlign w:val="center"/>
          </w:tcPr>
          <w:p w14:paraId="76B8C209" w14:textId="77777777" w:rsidR="002D4DF5" w:rsidRDefault="0089199E">
            <w:pPr>
              <w:spacing w:after="0" w:line="240" w:lineRule="auto"/>
              <w:jc w:val="center"/>
            </w:pPr>
            <w:r>
              <w:t>3</w:t>
            </w:r>
          </w:p>
        </w:tc>
        <w:tc>
          <w:tcPr>
            <w:tcW w:w="1276" w:type="dxa"/>
            <w:tcBorders>
              <w:top w:val="nil"/>
              <w:left w:val="nil"/>
              <w:bottom w:val="nil"/>
              <w:right w:val="nil"/>
            </w:tcBorders>
            <w:shd w:val="clear" w:color="auto" w:fill="auto"/>
            <w:vAlign w:val="center"/>
          </w:tcPr>
          <w:p w14:paraId="28F8D905" w14:textId="77777777" w:rsidR="002D4DF5" w:rsidRDefault="0089199E">
            <w:pPr>
              <w:spacing w:after="0" w:line="240" w:lineRule="auto"/>
              <w:jc w:val="center"/>
            </w:pPr>
            <w:r>
              <w:t>0</w:t>
            </w:r>
          </w:p>
        </w:tc>
        <w:tc>
          <w:tcPr>
            <w:tcW w:w="1842" w:type="dxa"/>
            <w:tcBorders>
              <w:top w:val="nil"/>
              <w:left w:val="nil"/>
              <w:bottom w:val="nil"/>
              <w:right w:val="nil"/>
            </w:tcBorders>
            <w:shd w:val="clear" w:color="auto" w:fill="auto"/>
            <w:vAlign w:val="center"/>
          </w:tcPr>
          <w:p w14:paraId="6DAA5122" w14:textId="77777777" w:rsidR="002D4DF5" w:rsidRDefault="0089199E">
            <w:pPr>
              <w:spacing w:after="0" w:line="240" w:lineRule="auto"/>
              <w:jc w:val="center"/>
            </w:pPr>
            <w:r>
              <w:t>0</w:t>
            </w:r>
          </w:p>
        </w:tc>
        <w:tc>
          <w:tcPr>
            <w:tcW w:w="1985" w:type="dxa"/>
            <w:tcBorders>
              <w:top w:val="nil"/>
              <w:left w:val="nil"/>
              <w:bottom w:val="nil"/>
              <w:right w:val="nil"/>
            </w:tcBorders>
            <w:shd w:val="clear" w:color="auto" w:fill="auto"/>
            <w:vAlign w:val="center"/>
          </w:tcPr>
          <w:p w14:paraId="39F767A8" w14:textId="77777777" w:rsidR="002D4DF5" w:rsidRDefault="0089199E">
            <w:pPr>
              <w:spacing w:after="0" w:line="240" w:lineRule="auto"/>
              <w:jc w:val="center"/>
            </w:pPr>
            <w:r>
              <w:t>0</w:t>
            </w:r>
          </w:p>
        </w:tc>
        <w:tc>
          <w:tcPr>
            <w:tcW w:w="2269" w:type="dxa"/>
            <w:tcBorders>
              <w:top w:val="nil"/>
              <w:left w:val="nil"/>
              <w:bottom w:val="nil"/>
              <w:right w:val="nil"/>
            </w:tcBorders>
            <w:shd w:val="clear" w:color="auto" w:fill="auto"/>
            <w:vAlign w:val="center"/>
          </w:tcPr>
          <w:p w14:paraId="63507DDB" w14:textId="77777777" w:rsidR="002D4DF5" w:rsidRDefault="0089199E">
            <w:pPr>
              <w:spacing w:after="0" w:line="240" w:lineRule="auto"/>
              <w:jc w:val="center"/>
            </w:pPr>
            <w:r>
              <w:t>93</w:t>
            </w:r>
          </w:p>
        </w:tc>
      </w:tr>
      <w:tr w:rsidR="002D4DF5" w14:paraId="513FD349" w14:textId="77777777">
        <w:tc>
          <w:tcPr>
            <w:tcW w:w="1412" w:type="dxa"/>
            <w:tcBorders>
              <w:top w:val="nil"/>
              <w:left w:val="nil"/>
              <w:bottom w:val="nil"/>
              <w:right w:val="nil"/>
            </w:tcBorders>
            <w:shd w:val="clear" w:color="auto" w:fill="auto"/>
            <w:vAlign w:val="center"/>
          </w:tcPr>
          <w:p w14:paraId="7072C678" w14:textId="77777777" w:rsidR="002D4DF5" w:rsidRDefault="0089199E">
            <w:pPr>
              <w:spacing w:after="0" w:line="240" w:lineRule="auto"/>
              <w:jc w:val="center"/>
            </w:pPr>
            <w:r>
              <w:t>4</w:t>
            </w:r>
          </w:p>
        </w:tc>
        <w:tc>
          <w:tcPr>
            <w:tcW w:w="1276" w:type="dxa"/>
            <w:tcBorders>
              <w:top w:val="nil"/>
              <w:left w:val="nil"/>
              <w:bottom w:val="nil"/>
              <w:right w:val="nil"/>
            </w:tcBorders>
            <w:shd w:val="clear" w:color="auto" w:fill="auto"/>
            <w:vAlign w:val="center"/>
          </w:tcPr>
          <w:p w14:paraId="7E34CD65" w14:textId="77777777" w:rsidR="002D4DF5" w:rsidRDefault="0089199E">
            <w:pPr>
              <w:spacing w:after="0" w:line="240" w:lineRule="auto"/>
              <w:jc w:val="center"/>
            </w:pPr>
            <w:r>
              <w:t>2823</w:t>
            </w:r>
          </w:p>
        </w:tc>
        <w:tc>
          <w:tcPr>
            <w:tcW w:w="1842" w:type="dxa"/>
            <w:tcBorders>
              <w:top w:val="nil"/>
              <w:left w:val="nil"/>
              <w:bottom w:val="nil"/>
              <w:right w:val="nil"/>
            </w:tcBorders>
            <w:shd w:val="clear" w:color="auto" w:fill="auto"/>
            <w:vAlign w:val="center"/>
          </w:tcPr>
          <w:p w14:paraId="4AB899CC" w14:textId="77777777" w:rsidR="002D4DF5" w:rsidRDefault="0089199E">
            <w:pPr>
              <w:spacing w:after="0" w:line="240" w:lineRule="auto"/>
              <w:jc w:val="center"/>
            </w:pPr>
            <w:r>
              <w:t>545</w:t>
            </w:r>
          </w:p>
        </w:tc>
        <w:tc>
          <w:tcPr>
            <w:tcW w:w="1985" w:type="dxa"/>
            <w:tcBorders>
              <w:top w:val="nil"/>
              <w:left w:val="nil"/>
              <w:bottom w:val="nil"/>
              <w:right w:val="nil"/>
            </w:tcBorders>
            <w:shd w:val="clear" w:color="auto" w:fill="auto"/>
            <w:vAlign w:val="center"/>
          </w:tcPr>
          <w:p w14:paraId="26F0F590" w14:textId="77777777" w:rsidR="002D4DF5" w:rsidRDefault="0089199E">
            <w:pPr>
              <w:spacing w:after="0" w:line="240" w:lineRule="auto"/>
              <w:jc w:val="center"/>
            </w:pPr>
            <w:r>
              <w:t>5152</w:t>
            </w:r>
          </w:p>
        </w:tc>
        <w:tc>
          <w:tcPr>
            <w:tcW w:w="2269" w:type="dxa"/>
            <w:tcBorders>
              <w:top w:val="nil"/>
              <w:left w:val="nil"/>
              <w:bottom w:val="nil"/>
              <w:right w:val="nil"/>
            </w:tcBorders>
            <w:shd w:val="clear" w:color="auto" w:fill="auto"/>
            <w:vAlign w:val="center"/>
          </w:tcPr>
          <w:p w14:paraId="05094F9C" w14:textId="77777777" w:rsidR="002D4DF5" w:rsidRDefault="0089199E">
            <w:pPr>
              <w:spacing w:after="0" w:line="240" w:lineRule="auto"/>
              <w:jc w:val="center"/>
            </w:pPr>
            <w:r>
              <w:t>1</w:t>
            </w:r>
          </w:p>
        </w:tc>
      </w:tr>
      <w:tr w:rsidR="002D4DF5" w14:paraId="0EBBF3FB" w14:textId="77777777">
        <w:tc>
          <w:tcPr>
            <w:tcW w:w="1412" w:type="dxa"/>
            <w:tcBorders>
              <w:top w:val="nil"/>
              <w:left w:val="nil"/>
              <w:bottom w:val="single" w:sz="12" w:space="0" w:color="000000"/>
              <w:right w:val="nil"/>
            </w:tcBorders>
            <w:shd w:val="clear" w:color="auto" w:fill="auto"/>
            <w:vAlign w:val="center"/>
          </w:tcPr>
          <w:p w14:paraId="18997987" w14:textId="77777777" w:rsidR="002D4DF5" w:rsidRDefault="0089199E">
            <w:pPr>
              <w:spacing w:after="0" w:line="240" w:lineRule="auto"/>
              <w:jc w:val="center"/>
            </w:pPr>
            <w:r>
              <w:t>5</w:t>
            </w:r>
          </w:p>
        </w:tc>
        <w:tc>
          <w:tcPr>
            <w:tcW w:w="1276" w:type="dxa"/>
            <w:tcBorders>
              <w:top w:val="nil"/>
              <w:left w:val="nil"/>
              <w:bottom w:val="single" w:sz="12" w:space="0" w:color="000000"/>
              <w:right w:val="nil"/>
            </w:tcBorders>
            <w:shd w:val="clear" w:color="auto" w:fill="auto"/>
            <w:vAlign w:val="center"/>
          </w:tcPr>
          <w:p w14:paraId="52D7F9FF" w14:textId="77777777" w:rsidR="002D4DF5" w:rsidRDefault="0089199E">
            <w:pPr>
              <w:spacing w:after="0" w:line="240" w:lineRule="auto"/>
              <w:jc w:val="center"/>
            </w:pPr>
            <w:r>
              <w:t>8</w:t>
            </w:r>
          </w:p>
        </w:tc>
        <w:tc>
          <w:tcPr>
            <w:tcW w:w="1842" w:type="dxa"/>
            <w:tcBorders>
              <w:top w:val="nil"/>
              <w:left w:val="nil"/>
              <w:bottom w:val="single" w:sz="12" w:space="0" w:color="000000"/>
              <w:right w:val="nil"/>
            </w:tcBorders>
            <w:shd w:val="clear" w:color="auto" w:fill="auto"/>
            <w:vAlign w:val="center"/>
          </w:tcPr>
          <w:p w14:paraId="429E9031" w14:textId="77777777" w:rsidR="002D4DF5" w:rsidRDefault="0089199E">
            <w:pPr>
              <w:spacing w:after="0" w:line="240" w:lineRule="auto"/>
              <w:jc w:val="center"/>
            </w:pPr>
            <w:r>
              <w:t>0</w:t>
            </w:r>
          </w:p>
        </w:tc>
        <w:tc>
          <w:tcPr>
            <w:tcW w:w="1985" w:type="dxa"/>
            <w:tcBorders>
              <w:top w:val="nil"/>
              <w:left w:val="nil"/>
              <w:bottom w:val="single" w:sz="12" w:space="0" w:color="000000"/>
              <w:right w:val="nil"/>
            </w:tcBorders>
            <w:shd w:val="clear" w:color="auto" w:fill="auto"/>
            <w:vAlign w:val="center"/>
          </w:tcPr>
          <w:p w14:paraId="580E787F" w14:textId="77777777" w:rsidR="002D4DF5" w:rsidRDefault="0089199E">
            <w:pPr>
              <w:spacing w:after="0" w:line="240" w:lineRule="auto"/>
              <w:jc w:val="center"/>
            </w:pPr>
            <w:r>
              <w:t>4159</w:t>
            </w:r>
          </w:p>
        </w:tc>
        <w:tc>
          <w:tcPr>
            <w:tcW w:w="2269" w:type="dxa"/>
            <w:tcBorders>
              <w:top w:val="nil"/>
              <w:left w:val="nil"/>
              <w:bottom w:val="single" w:sz="12" w:space="0" w:color="000000"/>
              <w:right w:val="nil"/>
            </w:tcBorders>
            <w:shd w:val="clear" w:color="auto" w:fill="auto"/>
            <w:vAlign w:val="center"/>
          </w:tcPr>
          <w:p w14:paraId="3E319207" w14:textId="77777777" w:rsidR="002D4DF5" w:rsidRDefault="0089199E">
            <w:pPr>
              <w:spacing w:after="0" w:line="240" w:lineRule="auto"/>
              <w:jc w:val="center"/>
            </w:pPr>
            <w:r>
              <w:t>25</w:t>
            </w:r>
          </w:p>
        </w:tc>
      </w:tr>
    </w:tbl>
    <w:p w14:paraId="5B8BAB10" w14:textId="77777777" w:rsidR="002D4DF5" w:rsidRDefault="002D4DF5"/>
    <w:p w14:paraId="182E7E93" w14:textId="5EDECA2A" w:rsidR="002D4DF5" w:rsidRDefault="007D312F">
      <w:pPr>
        <w:rPr>
          <w:b/>
          <w:bCs/>
          <w:sz w:val="24"/>
          <w:szCs w:val="24"/>
        </w:rPr>
      </w:pPr>
      <w:bookmarkStart w:id="42" w:name="_Hlk95418630"/>
      <w:r>
        <w:rPr>
          <w:b/>
          <w:bCs/>
          <w:sz w:val="24"/>
          <w:szCs w:val="24"/>
        </w:rPr>
        <w:t xml:space="preserve">5.5. </w:t>
      </w:r>
      <w:r w:rsidR="0089199E">
        <w:rPr>
          <w:b/>
          <w:bCs/>
          <w:sz w:val="24"/>
          <w:szCs w:val="24"/>
        </w:rPr>
        <w:t>D</w:t>
      </w:r>
      <w:r>
        <w:rPr>
          <w:b/>
          <w:bCs/>
          <w:sz w:val="24"/>
          <w:szCs w:val="24"/>
        </w:rPr>
        <w:t>ISCUSSION</w:t>
      </w:r>
      <w:r w:rsidR="0089199E">
        <w:rPr>
          <w:b/>
          <w:bCs/>
          <w:sz w:val="24"/>
          <w:szCs w:val="24"/>
        </w:rPr>
        <w:t xml:space="preserve"> </w:t>
      </w:r>
    </w:p>
    <w:bookmarkEnd w:id="42"/>
    <w:p w14:paraId="0C91757F" w14:textId="71EF54F8" w:rsidR="008D517D" w:rsidRPr="007B7E75" w:rsidRDefault="008D517D" w:rsidP="008D517D">
      <w:r w:rsidRPr="007B7E75">
        <w:t xml:space="preserve">Global funding for nature conservation is far below what is required to halt biodiversity loss </w:t>
      </w:r>
      <w:r w:rsidRPr="007B7E75">
        <w:fldChar w:fldCharType="begin"/>
      </w:r>
      <w:r w:rsidRPr="007B7E75">
        <w:instrText>ADDIN ZOTERO_ITEM CSL_CITATION {"citationID":"VR2TJhaC","properties":{"formattedCitation":"(Freeling and Connell, 2020; Laufer and Jones, 2021)","plainCitation":"(Freeling and Connell, 2020; Laufer and Jones, 2021)","noteIndex":0},"citationItems":[{"id":2805,"uris":["http://zotero.org/users/2170232/items/IR3BW9DS"],"uri":["http://zotero.org/users/2170232/items/IR3BW9DS"],"itemData":{"id":2805,"type":"article-journal","abstract":"People will pay to protect our environment. To encourage donations, it is fundamental to understand the values that motivate people. Here, we identify a new opportunity to attract donations from an emerging social movement to deliver benefits to the natural world.","container-title":"Trends in Ecology &amp; Evolution","DOI":"10.1016/j.tree.2019.09.002","ISSN":"0169-5347","issue":"1","journalAbbreviation":"Trends in Ecology &amp; Evolution","language":"en","page":"3-6","source":"ScienceDirect","title":"Funding Conservation through an Emerging Social Movement","volume":"35","author":[{"family":"Freeling","given":"Benjamin S."},{"family":"Connell","given":"Sean D."}],"issued":{"date-parts":[["2020",1,1]]}}},{"id":2790,"uris":["http://zotero.org/users/2170232/items/6XIXH5Z7"],"uri":["http://zotero.org/users/2170232/items/6XIXH5Z7"],"itemData":{"id":2790,"type":"article-journal","abstract":"Marine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D"}],"issued":{"date-parts":[["2021",4,1]]}}}],"schema":"https://github.com/citation-style-language/schema/raw/master/csl-citation.json"}</w:instrText>
      </w:r>
      <w:r w:rsidRPr="007B7E75">
        <w:fldChar w:fldCharType="separate"/>
      </w:r>
      <w:bookmarkStart w:id="43" w:name="__Fieldmark__1068_362668386"/>
      <w:r w:rsidRPr="007B7E75">
        <w:t>(Freeling and Connell, 2020; Laufer and Jones, 2021)</w:t>
      </w:r>
      <w:r w:rsidRPr="007B7E75">
        <w:fldChar w:fldCharType="end"/>
      </w:r>
      <w:bookmarkEnd w:id="43"/>
      <w:r w:rsidRPr="007B7E75">
        <w:t>, and the funding that is available is rarely stable or sustainable over periods of more than a few years. To maximise conservation gains</w:t>
      </w:r>
      <w:r w:rsidR="005E18D6">
        <w:t>,</w:t>
      </w:r>
      <w:r w:rsidRPr="007B7E75">
        <w:t xml:space="preserve"> it is necessary to </w:t>
      </w:r>
      <w:r w:rsidRPr="007B7E75">
        <w:lastRenderedPageBreak/>
        <w:t xml:space="preserve">provide conservation managers, and conservation funders, with insights into the trade-offs between different approaches to long-term investment of limited resources in the context of increasing anthropogenic pressure on natural resources. To our knowledge, no studies have investigated the potential long-term consequences of existing funding mechanisms for conservation projects and organisations. Our results therefore provide crucial theoretical insight that researchers can use to develop future hypothesis testing and data collection, and funders, conservation bodies, and landscape managers can use to develop more effective long-term investment strategies. </w:t>
      </w:r>
    </w:p>
    <w:p w14:paraId="4355321F" w14:textId="65739FEB" w:rsidR="008D517D" w:rsidRDefault="008D517D" w:rsidP="008D517D">
      <w:r>
        <w:t>We have demonstrated that the dominant funding mechanism for conservation in the world today – the short-term grant cycle – is not optimal for conservation investment within social-ecological landscapes where there are competing objectives and increasing anthropogenic pressure on natural resources. In circumstances where project budgets experience negative peaks caused by gaps in grant funding, and where there is no core budget, biodiversity loss is accelerated. In these circumstances, managers are unable to maintain power to affect the system or set policies that benefit nature over the long-term. Increased uncertainty and variability around the shape of fluctuating budget curves inevitably increases uncertainty around the state of biodiversity over the long-term. Brief periods of high budgets in the grant cycle scenarios result in only brief periods of success where rates of forest loss decrease, and in the context of increasing human pressure on the landscape, these are insufficient to mitigate for the periods of low funding. Chronic underfunding, particularly in the early stages of a landscape conservation programme, can lead to serious negative effects on natural resources. Severe forest loss at the start of a project period, with all the associated losses of biodiversity, ecosystem process and services, leads to very poor project success over a 50-year period. Even when project budgets increase over time, the damage caused during initial periods of underfunding is difficult to remedy.</w:t>
      </w:r>
    </w:p>
    <w:p w14:paraId="3670B6D0" w14:textId="47BE1806" w:rsidR="008D517D" w:rsidRPr="008D517D" w:rsidRDefault="007D312F" w:rsidP="008D517D">
      <w:pPr>
        <w:rPr>
          <w:b/>
          <w:bCs/>
          <w:i/>
          <w:iCs/>
        </w:rPr>
      </w:pPr>
      <w:r>
        <w:rPr>
          <w:b/>
          <w:bCs/>
          <w:i/>
          <w:iCs/>
        </w:rPr>
        <w:t xml:space="preserve">5.5.1 </w:t>
      </w:r>
      <w:r w:rsidR="008D517D" w:rsidRPr="008D517D">
        <w:rPr>
          <w:b/>
          <w:bCs/>
          <w:i/>
          <w:iCs/>
        </w:rPr>
        <w:t>Primary scenarios (scenarios 1 to 3)</w:t>
      </w:r>
    </w:p>
    <w:p w14:paraId="7BF2D33F" w14:textId="77777777" w:rsidR="008D517D" w:rsidRDefault="008D517D" w:rsidP="008D517D">
      <w:r>
        <w:t xml:space="preserve">Our results have demonstrated that in a situation where human pressure on a landscape is increasing over time, and assuming managers across all scenarios have access to the same total budget, the most effective funding strategy for a conservation manager is a stable, predictable budget. A constant budget is preferable to an increasing budget that starts too low, even when the increasing budget exceeds the value of the stable budget halfway through the study period. If a manager’s budget is too low at the start of the study period, initial forest loss is very high. The manager </w:t>
      </w:r>
      <w:proofErr w:type="gramStart"/>
      <w:r>
        <w:t>is able to</w:t>
      </w:r>
      <w:proofErr w:type="gramEnd"/>
      <w:r>
        <w:t xml:space="preserve"> reduce the rate of forest loss as their budget increases over time, but they are not able to make sufficient gains over 50 years to render the strategy better than a stable budget. </w:t>
      </w:r>
    </w:p>
    <w:p w14:paraId="1D222474" w14:textId="6B782A12" w:rsidR="008D517D" w:rsidRDefault="008D517D" w:rsidP="008D517D">
      <w:r>
        <w:t xml:space="preserve">Likewise, a fluctuating manager budget that reflects predictable grant cycles performs worse over 50 years than a stable budget. During periods of high budget, managers can develop effective policies that reduce forest loss. However, these periods are not sufficiently long, and budgets not sufficiently high, to offset the damage that is done during periods of low funding. Furthermore, the rate of forest loss during periods of low funding increases over time, as community resources increase. If the manager was focussed on the conservation of a wildlife population that exhibited reproduction and thus population growth, the periods of high budget, and therefore more effective protective policies, may be sufficient to maintain a healthy population as there would be periods of recovery. However, we assumed that the loss of primary forest could not be effectively reversed within a period of 50 years. These simulations could be further parameterised to include realistic forest regrowth or regeneration based on a specific landscape or ecosystem, but this would decrease the generality of the results and therefore was not attempted here. </w:t>
      </w:r>
    </w:p>
    <w:p w14:paraId="6D9EAEA1" w14:textId="58F2E6A3" w:rsidR="00897731" w:rsidRDefault="008D517D" w:rsidP="008D517D">
      <w:r>
        <w:lastRenderedPageBreak/>
        <w:t xml:space="preserve">Providing a manager with a stable budget that allows the development and maintenance of policies that minimise deforestation over the long-term is the best approach in this study. Stable, predictable budgets in the real world allow conservationists and landscape managers to maintain staffing levels, invest in long-term relationships and partnerships with stakeholders </w:t>
      </w:r>
      <w:r>
        <w:fldChar w:fldCharType="begin"/>
      </w:r>
      <w:r>
        <w:instrText xml:space="preserve"> ADDIN ZOTERO_ITEM CSL_CITATION {"citationID":"HaglCYvB","properties":{"formattedCitation":"(Armitage et al., 2020)","plainCitation":"(Armitage et al., 2020)","noteIndex":0},"citationItems":[{"id":3179,"uris":["http://zotero.org/users/2170232/items/3B32GVFR"],"uri":["http://zotero.org/users/2170232/items/3B32GVFR"],"itemData":{"id":3179,"type":"article-journal","abstract":"Strategies to protect biodiversity in the face of a global crisis must be place-based and sensitive to context. A failure to consider the socioeconomic and political circumstances, as well as wellbeing needs and lived realities of those most directly reliant upon biodiversity will further undermine progress on Aichi targets and subsequent goals for the post-2020 framework. How communities experience the benefits or costs of conservation action is influenced in large measure by the principles that guide conservation governance, and the subsequent institutional structures and processes that frame conservation action (at local to global scales). In this article, we define and critically reflect on core principles of community-centered conservation governance needed to yield desirable and long-term conservation outcomes—both ecological and social (i.e., equitable and just). In doing so, we emphasize a conception of community-centered conservation that we argue is relevant to guide implementation of a post-2020 biodiversity framework, and which is based on a foundation of well-established evidence. Core principles of community-centered conservation governance include: (a) building multilevel networks and collaborative relationships needed to coproduce conservation solutions; (b) promoting equity and recognizing the central role of women as agents of positive change in conservation efforts across scales; (c) reframing conservation action through the lens of reconciliation and redress (e.g., responding to injustices from land grabs and territorial enclosures); (d) ensuring a rights-based approach to conservation action in which community agency, access and decision making autonomy are supported; and (e) revitalizing the customary and local institutions that provide legitimate and adaptive strategies for the stewardship of biodiversity.","container-title":"Conservation Science and Practice","DOI":"10.1111/csp2.160","ISSN":"2578-4854","issue":"2","language":"en","note":"_eprint: https://onlinelibrary.wiley.com/doi/pdf/10.1111/csp2.160","page":"e160","source":"Wiley Online Library","title":"Governance principles for community-centered conservation in the post-2020 global biodiversity framework","volume":"2","author":[{"family":"Armitage","given":"Derek"},{"family":"Mbatha","given":"Philile"},{"family":"Muhl","given":"Ella-Kari"},{"family":"Rice","given":"Wayne"},{"family":"Sowman","given":"Merle"}],"issued":{"date-parts":[["2020"]]}}}],"schema":"https://github.com/citation-style-language/schema/raw/master/csl-citation.json"} </w:instrText>
      </w:r>
      <w:r>
        <w:fldChar w:fldCharType="separate"/>
      </w:r>
      <w:r w:rsidRPr="00B3356A">
        <w:rPr>
          <w:rFonts w:ascii="Calibri" w:hAnsi="Calibri" w:cs="Calibri"/>
        </w:rPr>
        <w:t>(Armitage et al., 2020)</w:t>
      </w:r>
      <w:r>
        <w:fldChar w:fldCharType="end"/>
      </w:r>
      <w:r>
        <w:t xml:space="preserve">, maintain enforcement levels, and design policies and interventions that are strategic and adaptive over periods greater than short-term grant cycles </w:t>
      </w:r>
      <w:r>
        <w:fldChar w:fldCharType="begin"/>
      </w:r>
      <w:r>
        <w:instrText xml:space="preserve"> ADDIN ZOTERO_ITEM CSL_CITATION {"citationID":"Y4S2SvGB","properties":{"formattedCitation":"(Blom et al., 2010; Sanders et al., 2021)","plainCitation":"(Blom et al., 2010; Sanders et al., 2021)","noteIndex":0},"citationItems":[{"id":3175,"uris":["http://zotero.org/users/2170232/items/BGA74T47"],"uri":["http://zotero.org/users/2170232/items/BGA74T47"],"itemData":{"id":3175,"type":"article-journal","abstract":"Integrated conservation and development projects (ICDPs) have been a pervasive, although widely criticized, approach to tropical conservation for more than 20 years. More recently, international conservation discourse has shifted away from project-based approaches and towards reducing emissions from deforestation and forest degradation (REDD). While REDD is based upon experience with payment for environmental services (PES) initiatives and forest-related discussions in the United Nations (UN), REDD implementation will still require sub-national projects. Issues of equity will likely pit these sub-national projects against some of the same challenges that have dogged ICDPs. This suggests that REDD project developers stand to learn a great deal from the lessons generated by experience with ICDPs. This paper provides a list of best practices for ICDPs and applies their lessons as principles to guide the development and implementation of sub-national REDD projects. The intent of this approach is to encourage the design and implementation of sub-national REDD projects in a way that avoids the past pitfalls and mistakes, while building upon some successes, of the ICDP conservation approach. By doing so, REDD will be more likely to be implemented in a way that is effective, efficient and equitable.","container-title":"Environmental Science &amp; Policy","DOI":"10.1016/j.envsci.2010.01.002","ISSN":"1462-9011","issue":"2","journalAbbreviation":"Environmental Science &amp; Policy","language":"en","page":"164-172","source":"ScienceDirect","title":"Getting REDD to work locally: lessons learned from integrated conservation and development projects","title-short":"Getting REDD to work locally","volume":"13","author":[{"family":"Blom","given":"Benjamin"},{"family":"Sunderland","given":"Terry"},{"family":"Murdiyarso","given":"Daniel"}],"issued":{"date-parts":[["2010",4,1]]}}},{"id":3173,"uris":["http://zotero.org/users/2170232/items/9UPGESHM"],"uri":["http://zotero.org/users/2170232/items/9UPGESHM"],"itemData":{"id":3173,"type":"article-journal","abstract":"Despite considerable achievements in the field of conservation, biodiversity continues to decline and conservation initiatives face numerous barriers. Although many of these barriers are well known, for example insufficient funding and capacity, there has been no systematic attempt to catalogue and categorize them into a typology. Because risks compromise the conservation mission, any barrier to success is a risk. Here we present the first attempt at identifying key barriers. We analyse extensive interviews with 74 conservationists, primarily from Africa but with international experience, to identify potential risks to their projects and use that information to create a typology of barriers to conservation success. We draw on the literature to explain the prevalence of some of the barriers identified. We suggest that this typology could form the basis of heuristic tools that conservationists can use to identify and manage potential risks to their projects, thereby improving decision-making, strategic planning and, ultimately, overall impact. The typology is also useful for the conservation community (comprising conservationists and funders) to help implement better practices and improve the likelihood of success. We present examples of such work already underway and suggest more can be done to continue to improve.","container-title":"Oryx","DOI":"10.1017/S0030605319000012","ISSN":"0030-6053, 1365-3008","issue":"2","language":"en","note":"publisher: Cambridge University Press","page":"245-254","source":"Cambridge University Press","title":"Conservation conversations: a typology of barriers to conservation success","title-short":"Conservation conversations","volume":"55","author":[{"family":"Sanders","given":"Michele Jeanette"},{"family":"Miller","given":"Laura"},{"family":"Bhagwat","given":"Shonil A."},{"family":"Rogers","given":"Alex"}],"issued":{"date-parts":[["2021",3]]}}}],"schema":"https://github.com/citation-style-language/schema/raw/master/csl-citation.json"} </w:instrText>
      </w:r>
      <w:r>
        <w:fldChar w:fldCharType="separate"/>
      </w:r>
      <w:r w:rsidRPr="00B3356A">
        <w:rPr>
          <w:rFonts w:ascii="Calibri" w:hAnsi="Calibri" w:cs="Calibri"/>
        </w:rPr>
        <w:t>(</w:t>
      </w:r>
      <w:proofErr w:type="spellStart"/>
      <w:r w:rsidRPr="00B3356A">
        <w:rPr>
          <w:rFonts w:ascii="Calibri" w:hAnsi="Calibri" w:cs="Calibri"/>
        </w:rPr>
        <w:t>Blom</w:t>
      </w:r>
      <w:proofErr w:type="spellEnd"/>
      <w:r w:rsidRPr="00B3356A">
        <w:rPr>
          <w:rFonts w:ascii="Calibri" w:hAnsi="Calibri" w:cs="Calibri"/>
        </w:rPr>
        <w:t xml:space="preserve"> et al., 2010; Sanders et al., 2021)</w:t>
      </w:r>
      <w:r>
        <w:fldChar w:fldCharType="end"/>
      </w:r>
      <w:r>
        <w:t>.</w:t>
      </w:r>
      <w:r w:rsidR="00897731">
        <w:t xml:space="preserve"> </w:t>
      </w:r>
      <w:r>
        <w:t xml:space="preserve">Conservation projects that are initially underfunded yet receive increasing resources will still spend many years working to reach the same levels of protection as they would have had, had they been provided an adequate, stable budget at the start. Our results predict that it could be several decades before the deforestation trajectories of the two alternative projects meet, and the increasing budget starts to pay dividends. </w:t>
      </w:r>
    </w:p>
    <w:p w14:paraId="41DD3648" w14:textId="1E9C4F66" w:rsidR="008D517D" w:rsidRDefault="008D517D" w:rsidP="008D517D">
      <w:r>
        <w:t xml:space="preserve">We do however acknowledge that we have made assumptions in our models about the timescales within which actions and decisions are made, and the time it takes for the effects of those actions to occur. Therefore, inferences regarding the timescales associated with forest loss within and between scenarios should be seen as examples and treated with caution. Projects that repeatedly experience severe funding shortages due to grant cycles will not have the same capacity for long-term investment and strategic planning as projects with stable funding, resulting in greater losses for biodiversity. </w:t>
      </w:r>
    </w:p>
    <w:p w14:paraId="5E782E36" w14:textId="424AA0F4" w:rsidR="008D517D" w:rsidRPr="008D517D" w:rsidRDefault="007D312F" w:rsidP="008D517D">
      <w:pPr>
        <w:rPr>
          <w:b/>
          <w:bCs/>
        </w:rPr>
      </w:pPr>
      <w:r>
        <w:rPr>
          <w:b/>
          <w:bCs/>
          <w:i/>
          <w:iCs/>
        </w:rPr>
        <w:t xml:space="preserve">5.5.2. </w:t>
      </w:r>
      <w:r w:rsidR="008D517D" w:rsidRPr="008D517D">
        <w:rPr>
          <w:b/>
          <w:bCs/>
          <w:i/>
          <w:iCs/>
        </w:rPr>
        <w:t>Uncertainty and unpredictability in funding</w:t>
      </w:r>
    </w:p>
    <w:p w14:paraId="48B05455" w14:textId="77777777" w:rsidR="00897731" w:rsidRDefault="008D517D" w:rsidP="008D517D">
      <w:r>
        <w:t xml:space="preserve">Scenarios 4 and 5 highlight two common funding situations for conservation organisations and projects </w:t>
      </w:r>
      <w:r>
        <w:fldChar w:fldCharType="begin"/>
      </w:r>
      <w:r>
        <w:instrText xml:space="preserve"> ADDIN ZOTERO_ITEM CSL_CITATION {"citationID":"g5gKQiOI","properties":{"formattedCitation":"(Hodge and Adams, 2016)","plainCitation":"(Hodge and Adams, 2016)","noteIndex":0},"citationItems":[{"id":2770,"uris":["http://zotero.org/users/2170232/items/G4E99ZXN"],"uri":["http://zotero.org/users/2170232/items/G4E99ZXN"],"itemData":{"id":2770,"type":"article-journal","abstract":"Drawing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M."}],"issued":{"date-parts":[["2016",12]]}}}],"schema":"https://github.com/citation-style-language/schema/raw/master/csl-citation.json"} </w:instrText>
      </w:r>
      <w:r>
        <w:fldChar w:fldCharType="separate"/>
      </w:r>
      <w:r w:rsidRPr="00731AF4">
        <w:rPr>
          <w:rFonts w:ascii="Calibri" w:hAnsi="Calibri" w:cs="Calibri"/>
        </w:rPr>
        <w:t>(Hodge and Adams, 2016)</w:t>
      </w:r>
      <w:r>
        <w:fldChar w:fldCharType="end"/>
      </w:r>
      <w:r>
        <w:t xml:space="preserve">. Scenario 4 represents a situation where the management authority has some level of core funding that ensures the operational budget does not drop below a certain level, despite budget uncertainty over time. This is a common scenario for large, international conservation organisations or statutory authorities, which have long-term support for core operational budgets. They can increase their budgets at any given time through grant applications which can be used to support existing activities, initiate new programmes, bolster enforcement, or extend engagement and collaboration with stakeholders, all of which will have a positive effect on biodiversity conservation on the landscape </w:t>
      </w:r>
      <w:r>
        <w:fldChar w:fldCharType="begin"/>
      </w:r>
      <w:r>
        <w:instrText xml:space="preserve"> ADDIN ZOTERO_ITEM CSL_CITATION {"citationID":"y81jz7Rz","properties":{"formattedCitation":"(Andrade and Rhodes, 2012; Moore et al., 2018; Steinmetz et al., 2014)","plainCitation":"(Andrade and Rhodes, 2012; Moore et al., 2018; Steinmetz et al., 2014)","noteIndex":0},"citationItems":[{"id":640,"uris":["http://zotero.org/users/2170232/items/HRCBX9W5"],"uri":["http://zotero.org/users/2170232/items/HRCBX9W5"],"itemData":{"id":640,"type":"article-journal","container-title":"Ecology and Society","DOI":"10.5751/ES-05216-170414","ISSN":"1708-3087","issue":"4","language":"en","source":"CrossRef","title":"Protected Areas and Local Communities: an Inevitable Partnership toward Successful Conservation Strategies?","title-short":"Protected Areas and Local Communities","URL":"http://www.ecologyandsociety.org/vol17/iss4/art14/","volume":"17","author":[{"family":"Andrade","given":"Gustavo S. M."},{"family":"Rhodes","given":"Jonathan R."}],"accessed":{"date-parts":[["2015",10,9]]},"issued":{"date-parts":[["2012"]]}}},{"id":2865,"uris":["http://zotero.org/users/2170232/items/V7VVZ46K"],"uri":["http://zotero.org/users/2170232/items/V7VVZ46K"],"itemData":{"id":2865,"type":"article-journal","abstract":"Poaching is one of the greatest threats to wildlife conservation world-wide. However, the spatial and temporal patterns of poaching activities within protected areas, and the effectiveness of ranger patrols and ranger posts in mitigating these threats, are relatively unknown. We used 10 years (2006–2015) of ranger-based monitoring data and dynamic multi-season occupancy models to quantify poaching-related threats, to examine factors influencing the spatio-temporal dynamics of these threats and to test the efficiency of management actions to combat poaching in Nyungwe National Park (NNP), Rwanda. The probability of occurrence of poaching-related threats was highest at lower elevations (1,801–2,200 m), especially in areas that were close to roads and tourist trails; conversely, occurrence probability was lowest at high elevation sites (2,601–3,000 m), and near the park boundary and ranger posts. The number of ranger patrols substantially increased the probability that poaching-related threats disappear at a site if threats were originally present (i.e. probability of extinction of threats). Without ranger visits, the annual probability of extinction of poaching-related threats was an estimated 7%; this probability would increase to 20% and 57% with 20 and 50 ranger visits per year, respectively. Our results suggest that poaching-related threats can be effectively reduced in NNP by adding ranger posts in areas where they do not currently exist, and by increasing the number of patrols to sites where the probability of poaching activities is high. Synthesis and applications. Our application of dynamic occupancy models to predict the probability of presence of poaching-related threats is novel, and explicitly considers imperfect detection of illegal activities. Based on the modelled relationships, we identify areas that are most vulnerable to poaching, and offer insights regarding how ranger patrols can be optimally deployed to reduce poaching-related threats and other illegal activites, while taking into account potential sampling biases. We show that poaching can be effectively reduced by increasing ranger patrols to areas under high risk of poaching activities, and by adding ranger patrols near these sites. These findings are broadly applicable to national parks and protected areas experiencing a high degree of poaching and other illegal activities.","container-title":"Journal of Applied Ecology","DOI":"10.1111/1365-2664.12965","ISSN":"1365-2664","issue":"1","language":"en","note":"_eprint: https://onlinelibrary.wiley.com/doi/pdf/10.1111/1365-2664.12965","page":"99-107","source":"Wiley Online Library","title":"Are ranger patrols effective in reducing poaching-related threats within protected areas?","volume":"55","author":[{"family":"Moore","given":"Jennifer F."},{"family":"Mulindahabi","given":"Felix"},{"family":"Masozera","given":"Michel K."},{"family":"Nichols","given":"James D."},{"family":"Hines","given":"James E."},{"family":"Turikunkiko","given":"Ezechiel"},{"family":"Oli","given":"Madan K."}],"issued":{"date-parts":[["2018"]]}}},{"id":972,"uris":["http://zotero.org/users/2170232/items/AERVPPNR"],"uri":["http://zotero.org/users/2170232/items/AERVPPNR"],"itemData":{"id":972,"type":"article-journal","container-title":"Journal of Applied Ecology","DOI":"10.1111/1365-2664.12239","ISSN":"00218901","issue":"6","language":"en","page":"1469-1478","source":"CrossRef","title":"Can community outreach alleviate poaching pressure and recover wildlife in South-East Asian protected areas?","volume":"51","author":[{"family":"Steinmetz","given":"Robert"},{"family":"Srirattanaporn","given":"Surasak"},{"family":"Mor-Tip","given":"Jirati"},{"family":"Seuaturien","given":"Naret"}],"editor":[{"family":"Jones","given":"Julia"}],"issued":{"date-parts":[["2014",12]]}}}],"schema":"https://github.com/citation-style-language/schema/raw/master/csl-citation.json"} </w:instrText>
      </w:r>
      <w:r>
        <w:fldChar w:fldCharType="separate"/>
      </w:r>
      <w:r w:rsidRPr="00DD29EF">
        <w:rPr>
          <w:rFonts w:ascii="Calibri" w:hAnsi="Calibri" w:cs="Calibri"/>
        </w:rPr>
        <w:t>(Andrade and Rhodes, 2012; Moore et al., 2018; Steinmetz et al., 2014)</w:t>
      </w:r>
      <w:r>
        <w:fldChar w:fldCharType="end"/>
      </w:r>
      <w:r>
        <w:t xml:space="preserve">. Likewise, grant funding will inevitably end within a few years, and there is no guarantee that future bids will be successful, resulting in decreases in overall budgets. However, the maintenance of budgets above a certain level means that core conservation activities do not cease, and the manager is able to minimise forest loss to a level </w:t>
      </w:r>
      <w:proofErr w:type="gramStart"/>
      <w:r>
        <w:t>similar to</w:t>
      </w:r>
      <w:proofErr w:type="gramEnd"/>
      <w:r>
        <w:t xml:space="preserve"> the manager in scenario 1. </w:t>
      </w:r>
    </w:p>
    <w:p w14:paraId="4391C773" w14:textId="7986EFF4" w:rsidR="008D517D" w:rsidRDefault="008D517D" w:rsidP="008D517D">
      <w:r>
        <w:t xml:space="preserve">Conversely, scenario 5 represents a situation where the management authority has no core budget and is therefore entirely reliant on uncertain and unpredictable grant funding over time. This is the reality for many small organisations, grass roots projects, or poorly supported statutory authorities which rely on the ability of other partner organisations to leverage external funding. In this study, the manager in all </w:t>
      </w:r>
      <w:proofErr w:type="gramStart"/>
      <w:r>
        <w:t>scenario</w:t>
      </w:r>
      <w:proofErr w:type="gramEnd"/>
      <w:r>
        <w:t xml:space="preserve"> 5 replicates has the same cumulative total budget over the 50 years as the other scenarios, yet the shape of the budget curve is random. This leads to large and highly unpredictable positive and negative peaks in some cases. Our results show that there is large variability in the overall success of the manager in scenario 5 to minimise forest loss. In some cases, they can maintain a forest loss trajectory </w:t>
      </w:r>
      <w:proofErr w:type="gramStart"/>
      <w:r>
        <w:t>similar to</w:t>
      </w:r>
      <w:proofErr w:type="gramEnd"/>
      <w:r>
        <w:t xml:space="preserve"> scenarios 1 and 4, yet more often the rate of forest loss is worse, regularly leading to complete forest loss. </w:t>
      </w:r>
    </w:p>
    <w:p w14:paraId="4A9D6DF4" w14:textId="77777777" w:rsidR="008D517D" w:rsidRDefault="008D517D" w:rsidP="008D517D">
      <w:r>
        <w:t xml:space="preserve">The results from scenarios 4 and 5 translate logically to the real world; if a conservation project or organisation has no core budget support, it is entirely reliant on the success of fundraising efforts. </w:t>
      </w:r>
      <w:r>
        <w:lastRenderedPageBreak/>
        <w:t xml:space="preserve">Winning sufficient funding via short-term grants to support adequate long-term conservation management is neither reliable nor straightforward </w:t>
      </w:r>
      <w:r>
        <w:fldChar w:fldCharType="begin"/>
      </w:r>
      <w:r>
        <w:instrText xml:space="preserve"> ADDIN ZOTERO_ITEM CSL_CITATION {"citationID":"ytlrAew1","properties":{"formattedCitation":"(Sohn, 2019)","plainCitation":"(Sohn, 2019)","noteIndex":0},"citationItems":[{"id":2848,"uris":["http://zotero.org/users/2170232/items/P5TICLUH"],"uri":["http://zotero.org/users/2170232/items/P5TICLUH"],"itemData":{"id":2848,"type":"article-journal","abstract":"Experienced scientists reveal how to avoid application pitfalls to submit successful proposals.","container-title":"Nature","DOI":"10.1038/d41586-019-03914-5","issue":"7788","language":"en","note":"Bandiera_abtest: a\nCg_type: Career Feature\nnumber: 7788\npublisher: Nature Publishing Group\nSubject_term: Careers, Funding, Communication","page":"133-135","source":"www.nature.com","title":"Secrets to writing a winning grant","volume":"577","author":[{"family":"Sohn","given":"Emily"}],"issued":{"date-parts":[["2019",12,20]]}}}],"schema":"https://github.com/citation-style-language/schema/raw/master/csl-citation.json"} </w:instrText>
      </w:r>
      <w:r>
        <w:fldChar w:fldCharType="separate"/>
      </w:r>
      <w:r w:rsidRPr="00BB6084">
        <w:rPr>
          <w:rFonts w:ascii="Calibri" w:hAnsi="Calibri" w:cs="Calibri"/>
        </w:rPr>
        <w:t>(Sohn, 2019)</w:t>
      </w:r>
      <w:r>
        <w:fldChar w:fldCharType="end"/>
      </w:r>
      <w:r>
        <w:t xml:space="preserve">. When long-term budgets are unpredictable, uncertain, and highly variable, landscape managers are often unable to maintain core activities, guarantee continued support for communities and other stakeholders, plan investments strategically, assess impacts, or target investments at the most relevant drivers of biodiversity loss </w:t>
      </w:r>
      <w:r>
        <w:fldChar w:fldCharType="begin"/>
      </w:r>
      <w:r>
        <w:instrText xml:space="preserve"> ADDIN ZOTERO_ITEM CSL_CITATION {"citationID":"Eu0qATDb","properties":{"formattedCitation":"(Barnes et al., 2018; Gill et al., 2017; Gollin and Probst, 2015; McCarthy et al., 2012)","plainCitation":"(Barnes et al., 2018; Gill et al., 2017; Gollin and Probst, 2015; McCarthy et al., 2012)","noteIndex":0},"citationItems":[{"id":1620,"uris":["http://zotero.org/users/2170232/items/EAZ3GXP4"],"uri":["http://zotero.org/users/2170232/items/EAZ3GXP4"],"itemData":{"id":1620,"type":"article-journal","abstract":"Aichi Target 11 has galvanized expansion of the global protected area network, but there is little evidence that this brings real biodiversity gains. We argue that area-based prioritization risks unintended perverse consequences and that the focus of protected area target development should shift from quantity to quality.","container-title":"Nature Ecology &amp; Evolution","DOI":"10.1038/s41559-018-0501-y","ISSN":"2397-334X","language":"en","page":"1","source":"www.nature.com","title":"Prevent perverse outcomes from global protected area policy","author":[{"family":"Barnes","given":"Megan D."},{"family":"Glew","given":"Louise"},{"family":"Wyborn","given":"Carina"},{"family":"Craigie","given":"Ian D."}],"issued":{"date-parts":[["2018",3,19]]}}},{"id":2867,"uris":["http://zotero.org/users/2170232/items/XHS93V7A"],"uri":["http://zotero.org/users/2170232/items/XHS93V7A"],"itemData":{"id":2867,"type":"article-journal","abstract":"Marine protected areas (MPAs) are increasingly being used globally to conserve marine resources. However, whether many MPAs are being effectively and equitably managed, and how MPA management influences substantive outcomes remain unknown. We developed a global database of management and fish population data (433 and 218 MPAs, respectively) to assess: MPA management processes; the effects of MPAs on fish populations; and relationships between management processes and ecological effects. Here we report that many MPAs failed to meet thresholds for effective and equitable management processes, with widespread shortfalls in staff and financial resources. Although 71% of MPAs positively influenced fish populations, these conservation impacts were highly variable. Staff and budget capacity were the strongest predictors of conservation impact: MPAs with adequate staff capacity had ecological effects 2.9 times greater than MPAs with inadequate capacity. Thus, continued global expansion of MPAs without adequate investment in human and financial capacity is likely to lead to sub-optimal conservation outcomes.","container-title":"Nature","DOI":"10.1038/nature21708","ISSN":"1476-4687","issue":"7647","language":"en","note":"Bandiera_abtest: a\nCg_type: Nature Research Journals\nnumber: 7647\nPrimary_atype: Research\npublisher: Nature Publishing Group\nSubject_term: Decision making;Environmental impact;Sustainability\nSubject_term_id: decision-making;environmental-impact;sustainability","page":"665-669","source":"www.nature.com","title":"Capacity shortfalls hinder the performance of marine protected areas globally","volume":"543","author":[{"family":"Gill","given":"David A."},{"family":"Mascia","given":"Michael B."},{"family":"Ahmadia","given":"Gabby N."},{"family":"Glew","given":"Louise"},{"family":"Lester","given":"Sarah E."},{"family":"Barnes","given":"Megan"},{"family":"Craigie","given":"Ian"},{"family":"Darling","given":"Emily S."},{"family":"Free","given":"Christopher M."},{"family":"Geldmann","given":"Jonas"},{"family":"Holst","given":"Susie"},{"family":"Jensen","given":"Olaf P."},{"family":"White","given":"Alan T."},{"family":"Basurto","given":"Xavier"},{"family":"Coad","given":"Lauren"},{"family":"Gates","given":"Ruth D."},{"family":"Guannel","given":"Greg"},{"family":"Mumby","given":"Peter J."},{"family":"Thomas","given":"Hannah"},{"family":"Whitmee","given":"Sarah"},{"family":"Woodley","given":"Stephen"},{"family":"Fox","given":"Helen E."}],"issued":{"date-parts":[["2017",3]]}}},{"id":2870,"uris":["http://zotero.org/users/2170232/items/MI4S7CPN"],"uri":["http://zotero.org/users/2170232/items/MI4S7CPN"],"itemData":{"id":2870,"type":"article-journal","abstract":"This paper describes the ways in which changing consumption patterns and production technologies have altered the boundaries between agriculture and food. Increasing income and urbanization have driven a steady increase in the demand for prepared and processed foods, reducing the need for in-home preparation. But this well-documented transition has in turn led to a shift in the structure of the food industry, with manufacturers and processors playing an ever-larger role relative to farmers—most prominently in the US and European countries, but also in the developing world. The shift is evident in employment patterns and trade patterns as well as in production and value addition. We argue that regulatory systems and policies still tend to equate food with farming, reflecting the realities of the last century more than the policy challenges of today.","container-title":"Oxford Review of Economic Policy","DOI":"10.1093/oxrep/grv012","ISSN":"0266-903X","issue":"1","journalAbbreviation":"Oxford Review of Economic Policy","page":"8-25","source":"Silverchair","title":"Food and agriculture: shifting landscapes for policy","title-short":"Food and agriculture","volume":"31","author":[{"family":"Gollin","given":"Douglas"},{"family":"Probst","given":"Lilli Teresa"}],"issued":{"date-parts":[["2015",3,1]]}}},{"id":2727,"uris":["http://zotero.org/users/2170232/items/DYCFGVJV"],"uri":["http://zotero.org/users/2170232/items/DYCFGVJV"],"itemData":{"id":2727,"type":"article-journal","abstract":"&lt;p&gt;World governments have committed to halting human-induced extinctions and safeguarding important sites for biodiversity by 2020, but the financial costs of meeting these targets are largely unknown. We estimate the cost of reducing the extinction risk of all globally threatened bird species (by ≥1 International Union for Conservation of Nature Red List category) to be U.S. $0.875 to $1.23 billion annually over the next decade, of which 12% is currently funded. Incorporating threatened nonavian species increases this total to U.S. $3.41 to $4.76 billion annually. We estimate that protecting and effectively managing all terrestrial sites of global avian conservation significance (11,731 Important Bird Areas) would cost U.S. $65.1 billion annually. Adding sites for other taxa increases this to U.S. $76.1 billion annually. Meeting these targets will require conservation funding to increase by at least an order of magnitude.&lt;/p&gt;","container-title":"Science","DOI":"10.1126/science.1229803","ISSN":"0036-8075, 1095-9203","issue":"6109","language":"en","note":"publisher: American Association for the Advancement of Science\nsection: Report\nPMID: 23065904","page":"946-949","source":"science.sciencemag.org","title":"Financial Costs of Meeting Global Biodiversity Conservation Targets: Current Spending and Unmet Needs","title-short":"Financial Costs of Meeting Global Biodiversity Conservation Targets","volume":"338","author":[{"family":"McCarthy","given":"Donal P."},{"family":"Donald","given":"Paul F."},{"family":"Scharlemann","given":"Jörn P. W."},{"family":"Buchanan","given":"Graeme M."},{"family":"Balmford","given":"Andrew"},{"family":"Green","given":"Jonathan M. H."},{"family":"Bennun","given":"Leon A."},{"family":"Burgess","given":"Neil D."},{"family":"Fishpool","given":"Lincoln D. C."},{"family":"Garnett","given":"Stephen T."},{"family":"Leonard","given":"David L."},{"family":"Maloney","given":"Richard F."},{"family":"Morling","given":"Paul"},{"family":"Schaefer","given":"H. Martin"},{"family":"Symes","given":"Andy"},{"family":"Wiedenfeld","given":"David A."},{"family":"Butchart","given":"Stuart H. M."}],"issued":{"date-parts":[["2012",11,16]]}}}],"schema":"https://github.com/citation-style-language/schema/raw/master/csl-citation.json"} </w:instrText>
      </w:r>
      <w:r>
        <w:fldChar w:fldCharType="separate"/>
      </w:r>
      <w:r w:rsidRPr="00321A08">
        <w:rPr>
          <w:rFonts w:ascii="Calibri" w:hAnsi="Calibri" w:cs="Calibri"/>
        </w:rPr>
        <w:t xml:space="preserve">(Barnes et al., 2018; Gill et al., 2017; </w:t>
      </w:r>
      <w:proofErr w:type="spellStart"/>
      <w:r w:rsidRPr="00321A08">
        <w:rPr>
          <w:rFonts w:ascii="Calibri" w:hAnsi="Calibri" w:cs="Calibri"/>
        </w:rPr>
        <w:t>Gollin</w:t>
      </w:r>
      <w:proofErr w:type="spellEnd"/>
      <w:r w:rsidRPr="00321A08">
        <w:rPr>
          <w:rFonts w:ascii="Calibri" w:hAnsi="Calibri" w:cs="Calibri"/>
        </w:rPr>
        <w:t xml:space="preserve"> and Probst, 2015; McCarthy et al., 2012)</w:t>
      </w:r>
      <w:r>
        <w:fldChar w:fldCharType="end"/>
      </w:r>
      <w:r>
        <w:t>. In contrast, when core budgets are guaranteed, managers can maintain core activities and investments over the long-term which provides stability and minimises biodiversity loss.</w:t>
      </w:r>
    </w:p>
    <w:p w14:paraId="1490080E" w14:textId="0BCBC3E0" w:rsidR="008D517D" w:rsidRPr="008D517D" w:rsidRDefault="007D312F" w:rsidP="008D517D">
      <w:pPr>
        <w:rPr>
          <w:b/>
          <w:bCs/>
          <w:i/>
          <w:iCs/>
        </w:rPr>
      </w:pPr>
      <w:r>
        <w:rPr>
          <w:b/>
          <w:bCs/>
          <w:i/>
          <w:iCs/>
        </w:rPr>
        <w:t xml:space="preserve">5.5.3. </w:t>
      </w:r>
      <w:r w:rsidR="008D517D" w:rsidRPr="008D517D">
        <w:rPr>
          <w:b/>
          <w:bCs/>
          <w:i/>
          <w:iCs/>
        </w:rPr>
        <w:t>Advantages of simulation studies</w:t>
      </w:r>
    </w:p>
    <w:p w14:paraId="7491AF77" w14:textId="77777777" w:rsidR="008D517D" w:rsidRDefault="008D517D" w:rsidP="008D517D">
      <w:r>
        <w:t xml:space="preserve">Simulation studies allow us to investigate possible biodiversity outcomes from a variety of scenarios over time periods much longer than for which we generally have empirical data for. Monitoring data for conservation projects rarely exist over timeframes </w:t>
      </w:r>
      <w:proofErr w:type="gramStart"/>
      <w:r>
        <w:t>as long as</w:t>
      </w:r>
      <w:proofErr w:type="gramEnd"/>
      <w:r>
        <w:t xml:space="preserve"> 50 years, and managers are therefore required to assess conservation actions using monitoring data from significantly shorter periods. This study has demonstrated that this can be misleading. For example, if a manager was provided forest monitoring data for scenario 3 between years two and six, or between years 14 and 18, it would be reasonable to conclude that the existing investment strategy and associated conservation interventions were working, as the rate of forest loss was decreasing. If a manager was given forest monitoring data from any four-year period from scenario 1, they could reasonably conclude that the investment strategy and associated conservation interventions were not working, as the rate of forest loss was increasing. Neither manager could be justifiably criticised for their inference; they are drawing conclusions from the best available data, which is what conservationists around the world must do every day. Nevertheless, our results have demonstrated that these inferences are likely flawed, and that the manager from scenario 1 will have greater success in minimising forest loss over the long-term if they maintain their strategy.</w:t>
      </w:r>
    </w:p>
    <w:p w14:paraId="140552C8" w14:textId="685ACF3C" w:rsidR="008D517D" w:rsidRPr="008B2431" w:rsidRDefault="007D312F" w:rsidP="008D517D">
      <w:pPr>
        <w:rPr>
          <w:b/>
          <w:bCs/>
          <w:i/>
          <w:iCs/>
        </w:rPr>
      </w:pPr>
      <w:r>
        <w:rPr>
          <w:b/>
          <w:bCs/>
          <w:i/>
          <w:iCs/>
        </w:rPr>
        <w:t xml:space="preserve">5.5.4. </w:t>
      </w:r>
      <w:r w:rsidR="008B2431" w:rsidRPr="008B2431">
        <w:rPr>
          <w:b/>
          <w:bCs/>
          <w:i/>
          <w:iCs/>
        </w:rPr>
        <w:t>The</w:t>
      </w:r>
      <w:r w:rsidR="008D517D" w:rsidRPr="008B2431">
        <w:rPr>
          <w:b/>
          <w:bCs/>
          <w:i/>
          <w:iCs/>
        </w:rPr>
        <w:t xml:space="preserve"> way forward</w:t>
      </w:r>
    </w:p>
    <w:p w14:paraId="2D41CA1A" w14:textId="77777777" w:rsidR="00897731" w:rsidRDefault="008D517D" w:rsidP="008D517D">
      <w:r>
        <w:t xml:space="preserve">The global conservation community requires a huge increase in funding, and a fundamental shift in the constancy of funding, if it is to halt the decline in biodiversity and minimise the worst impacts of climate change </w:t>
      </w:r>
      <w:r>
        <w:fldChar w:fldCharType="begin"/>
      </w:r>
      <w:r>
        <w:instrText>ADDIN ZOTERO_ITEM CSL_CITATION {"citationID":"CKFyTV7I","properties":{"formattedCitation":"(Echols et al., 2019; Larson et al., 2021)","plainCitation":"(Echols et al., 2019; Larson et al., 2021)","noteIndex":0},"citationItems":[{"id":2785,"uris":["http://zotero.org/users/2170232/items/LTGDFZ3Q"],"uri":["http://zotero.org/users/2170232/items/LTGDFZ3Q"],"itemData":{"id":2785,"type":"article-journal","abstract":"Funding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id":2787,"uris":["http://zotero.org/users/2170232/items/J8AGA4RR"],"uri":["http://zotero.org/users/2170232/items/J8AGA4RR"],"itemData":{"id":2787,"type":"article-journal","abstract":"Insufficient funding is a major impediment to conservation efforts around the world. In the United States, a decline in hunting participation threatens sustainability of the “user-pay, public benefit” model that has supported wildlife conservation for nearly 100 years, forcing wildlife management agencies to contemplate alternative funding strategies. We investigated support for potential funding options among diverse college students, a rapidly expanding and politically active voting bloc with a potentially powerful influence on the future of conservation. From 2018 to 2020, we surveyed 17,203 undergraduate students at public universities across 22 states. Students preferred innovative approaches to conservation funding, with 72% supporting funding derived from industry sources (e.g., natural resource extraction companies), 63% supporting state sources (e.g., general sales tax), and 43% supporting conventional user-based sources such as license fees and excise taxes associated with outdoor recreation activities (e.g., hunting). Findings emphasize the need to broaden the base of support for conservation funding and highlight the importance of considering the preferences and perspectives of young adults and other diverse beneficiaries of wildlife conservation.","container-title":"Conservation Science and Practice","DOI":"10.1111/csp2.505","ISSN":"2578-4854","issue":"n/a","language":"en","note":"_eprint: https://conbio.onlinelibrary.wiley.com/doi/pdf/10.1111/csp2.505","page":"e505","source":"Wiley Online Library","title":"The future of wildlife conservation funding: What options do U.S. college students support?","title-short":"The future of wildlife conservation funding","volume":"n/a","author":[{"family":"Larson","given":"Lincoln R."},{"family":"Peterson","given":"Markus Nils"},{"family":"Furstenberg","given":"Richard Von"},{"family":"Vayer","given":"Victoria R."},{"family":"Lee","given":"Kangjae Jerry"},{"family":"Choi","given":"Daniel Y."},{"family":"Stevenson","given":"Kathryn"},{"family":"Ahlers","given":"Adam A."},{"family":"Anhalt-Depies","given":"Christine"},{"family":"Bethke","given":"Taniya"},{"family":"Bruskotter","given":"Jeremy T."},{"family":"Chizinski","given":"Christopher J."},{"family":"Clark","given":"Brian"},{"family":"Dayer","given":"Ashley A."},{"family":"Dunning","given":"Kelly Heber"},{"family":"Ghasemi","given":"Benjamin"},{"family":"Gigliotti","given":"Larry"},{"family":"Graefe","given":"Alan"},{"family":"Irwin","given":"Kris"},{"family":"Keith","given":"Samuel J."},{"family":"Kelly","given":"Matt"},{"family":"Kyle","given":"Gerard"},{"family":"Metcalf","given":"Elizabeth"},{"family":"Morse","given":"Wayde"},{"family":"Needham","given":"Mark D."},{"family":"Poudyal","given":"Neelam C."},{"family":"Quartuch","given":"Michael"},{"family":"Rodriguez","given":"Shari"},{"family":"Romulo","given":"Chelsie"},{"family":"Sharp","given":"Ryan L."},{"family":"Siemer","given":"William"},{"family":"Springer","given":"Matthew T."},{"family":"Stayton","given":"Brett"},{"family":"Stedman","given":"Richard"},{"family":"Stein","given":"Taylor"},{"family":"Deelen","given":"Timothy R. Van"},{"family":"Whiting","given":"Jason"},{"family":"Winkler","given":"Richelle L."},{"family":"Woosnam","given":"Kyle Maurice"}],"issued":{"date-parts":[["2021"]]}}}],"schema":"https://github.com/citation-style-language/schema/raw/master/csl-citation.json"}</w:instrText>
      </w:r>
      <w:r>
        <w:fldChar w:fldCharType="separate"/>
      </w:r>
      <w:bookmarkStart w:id="44" w:name="__Fieldmark__1102_362668386"/>
      <w:r>
        <w:rPr>
          <w:rFonts w:cs="Calibri"/>
        </w:rPr>
        <w:t>(Echols et al., 2019; Larson et al., 2021)</w:t>
      </w:r>
      <w:r>
        <w:fldChar w:fldCharType="end"/>
      </w:r>
      <w:bookmarkEnd w:id="44"/>
      <w:r>
        <w:t xml:space="preserve">. We have demonstrated that a funding model that relies on short term grant funding, which is a common mechanism in the conservation sector, is unlikely to be the most effective way of financing landscape conservation. In addition to the landscape-level challenges of short-term grants that we have demonstrated here, the lack of communication, cohesion, and national, regional, and global coordination between funders that administer conservation grants results in poor strategic allocation of funding across larger spatial scales </w:t>
      </w:r>
      <w:r>
        <w:fldChar w:fldCharType="begin"/>
      </w:r>
      <w:r>
        <w:instrText>ADDIN ZOTERO_ITEM CSL_CITATION {"citationID":"Mdo6SJoE","properties":{"formattedCitation":"(Laufer and Jones, 2021)","plainCitation":"(Laufer and Jones, 2021)","noteIndex":0},"citationItems":[{"id":2790,"uris":["http://zotero.org/users/2170232/items/6XIXH5Z7"],"uri":["http://zotero.org/users/2170232/items/6XIXH5Z7"],"itemData":{"id":2790,"type":"article-journal","abstract":"Marine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D"}],"issued":{"date-parts":[["2021",4,1]]}}}],"schema":"https://github.com/citation-style-language/schema/raw/master/csl-citation.json"}</w:instrText>
      </w:r>
      <w:r>
        <w:fldChar w:fldCharType="separate"/>
      </w:r>
      <w:bookmarkStart w:id="45" w:name="__Fieldmark__1107_362668386"/>
      <w:r>
        <w:rPr>
          <w:rFonts w:cs="Calibri"/>
        </w:rPr>
        <w:t>(Laufer and Jones, 2021)</w:t>
      </w:r>
      <w:r>
        <w:fldChar w:fldCharType="end"/>
      </w:r>
      <w:bookmarkEnd w:id="45"/>
      <w:r>
        <w:t xml:space="preserve">. Greater coordination between funders, or indeed less reliance on numerous, disparate funders, will allow more thoughtful and strategic assessments regarding allocation of conservation funds, thus maximising environmental return-on-investment </w:t>
      </w:r>
      <w:r>
        <w:fldChar w:fldCharType="begin"/>
      </w:r>
      <w:r>
        <w:instrText>ADDIN ZOTERO_ITEM CSL_CITATION {"citationID":"cv4DzguN","properties":{"formattedCitation":"(Echols et al., 2019)","plainCitation":"(Echols et al., 2019)","noteIndex":0},"citationItems":[{"id":2785,"uris":["http://zotero.org/users/2170232/items/LTGDFZ3Q"],"uri":["http://zotero.org/users/2170232/items/LTGDFZ3Q"],"itemData":{"id":2785,"type":"article-journal","abstract":"Funding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funding","volume":"43","author":[{"family":"Echols","given":"Alex"},{"family":"Front","given":"Alan"},{"family":"Cummins","given":"James"}],"issued":{"date-parts":[["2019"]]}}}],"schema":"https://github.com/citation-style-language/schema/raw/master/csl-citation.json"}</w:instrText>
      </w:r>
      <w:r>
        <w:fldChar w:fldCharType="separate"/>
      </w:r>
      <w:bookmarkStart w:id="46" w:name="__Fieldmark__1112_362668386"/>
      <w:r>
        <w:rPr>
          <w:rFonts w:cs="Calibri"/>
        </w:rPr>
        <w:t>(Echols et al., 2019)</w:t>
      </w:r>
      <w:r>
        <w:fldChar w:fldCharType="end"/>
      </w:r>
      <w:bookmarkEnd w:id="46"/>
      <w:r>
        <w:t xml:space="preserve">. </w:t>
      </w:r>
    </w:p>
    <w:p w14:paraId="2B458186" w14:textId="2FA021EA" w:rsidR="008D517D" w:rsidRDefault="008D517D" w:rsidP="008D517D">
      <w:r>
        <w:t xml:space="preserve">If global funding for conservation increases, the mechanisms by which this funding is distributed need to be carefully considered to ensure biodiversity gains per dollar are maximised. Our results suggest that simply increasing the number of short-term grants available within a competitive application framework is unlikely to provide the maximum gains. Alternative funding mechanisms are needed which provide stable and predictable budgets over multi-decadal timeframes thus allowing organisations and authorities to devise and implement strategic, long-term interventions and policies that benefit nature and people </w:t>
      </w:r>
      <w:r>
        <w:fldChar w:fldCharType="begin"/>
      </w:r>
      <w:r>
        <w:instrText xml:space="preserve"> ADDIN ZOTERO_ITEM CSL_CITATION {"citationID":"fmaLmmv1","properties":{"formattedCitation":"(Sayer and Wells, 2004)","plainCitation":"(Sayer and Wells, 2004)","noteIndex":0},"citationItems":[{"id":2880,"uris":["http://zotero.org/users/2170232/items/ZUBKS2W7"],"uri":["http://zotero.org/users/2170232/items/ZUBKS2W7"],"itemData":{"id":2880,"type":"chapter","container-title":"Getting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projects","author":[{"family":"Sayer","given":"J"},{"family":"Wells","given":"MP"}],"issued":{"date-parts":[["2004"]]}}}],"schema":"https://github.com/citation-style-language/schema/raw/master/csl-citation.json"} </w:instrText>
      </w:r>
      <w:r>
        <w:fldChar w:fldCharType="separate"/>
      </w:r>
      <w:r w:rsidRPr="00574A12">
        <w:rPr>
          <w:rFonts w:ascii="Calibri" w:hAnsi="Calibri" w:cs="Calibri"/>
        </w:rPr>
        <w:t>(Sayer and Wells, 2004)</w:t>
      </w:r>
      <w:r>
        <w:fldChar w:fldCharType="end"/>
      </w:r>
      <w:r>
        <w:t xml:space="preserve">. </w:t>
      </w:r>
    </w:p>
    <w:p w14:paraId="2486B45E" w14:textId="4DE90351" w:rsidR="008D517D" w:rsidRDefault="008D517D" w:rsidP="008D517D">
      <w:r>
        <w:lastRenderedPageBreak/>
        <w:t xml:space="preserve">There is a wide range of funding sources available to conservationists, yet government and philanthropic sources are the most common </w:t>
      </w:r>
      <w:r>
        <w:fldChar w:fldCharType="begin"/>
      </w:r>
      <w:r>
        <w:instrText>ADDIN ZOTERO_ITEM CSL_CITATION {"citationID":"3wLIm8W3","properties":{"formattedCitation":"(Clark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47" w:name="__Fieldmark__1119_362668386"/>
      <w:r>
        <w:rPr>
          <w:rFonts w:cs="Calibri"/>
        </w:rPr>
        <w:t>(Clark et al., 2018)</w:t>
      </w:r>
      <w:r>
        <w:fldChar w:fldCharType="end"/>
      </w:r>
      <w:bookmarkEnd w:id="47"/>
      <w:r>
        <w:t xml:space="preserve">. The fragility of government funding has been exposed during the Covid-19 global pandemic; around the world there have been shrinking national economies, dramatic increases in emergency government spending, and governments forced to prioritise sectors of the economy for support and recovery </w:t>
      </w:r>
      <w:r>
        <w:fldChar w:fldCharType="begin"/>
      </w:r>
      <w:r>
        <w:instrText>ADDIN ZOTERO_ITEM CSL_CITATION {"citationID":"X9TVMTwH","properties":{"formattedCitation":"(Evans et al., 2020)","plainCitation":"(Evans et al., 2020)","noteIndex":0},"citationItems":[{"id":2796,"uris":["http://zotero.org/users/2170232/items/DATMY44P"],"uri":["http://zotero.org/users/2170232/items/DATMY44P"],"itemData":{"id":2796,"type":"article-journal","container-title":"Animal Conservation","DOI":"10.1111/acv.12601","ISSN":"1469-1795","issue":"3","language":"en","note":"_eprint: https://zslpublications.onlinelibrary.wiley.com/doi/pdf/10.1111/acv.12601","page":"235-238","source":"Wiley Online Library","title":"Conservation in the maelstrom of Covid-19 – a call to action to solve the challenges, exploit opportunities and prepare for the next pandemic","volume":"23","author":[{"family":"Evans","given":"K. L."},{"family":"Ewen","given":"J. G."},{"family":"Guillera-Arroita","given":"G."},{"family":"Johnson","given":"J. A."},{"family":"Penteriani","given":"V."},{"family":"Ryan","given":"S. J."},{"family":"Sollmann","given":"R."},{"family":"Gordon","given":"I. J."}],"issued":{"date-parts":[["2020"]]}}}],"schema":"https://github.com/citation-style-language/schema/raw/master/csl-citation.json"}</w:instrText>
      </w:r>
      <w:r>
        <w:fldChar w:fldCharType="separate"/>
      </w:r>
      <w:bookmarkStart w:id="48" w:name="__Fieldmark__1124_362668386"/>
      <w:r>
        <w:rPr>
          <w:rFonts w:cs="Calibri"/>
        </w:rPr>
        <w:t>(Evans et al., 2020)</w:t>
      </w:r>
      <w:r>
        <w:fldChar w:fldCharType="end"/>
      </w:r>
      <w:bookmarkEnd w:id="48"/>
      <w:r>
        <w:t>.</w:t>
      </w:r>
      <w:r w:rsidR="00DB21B5">
        <w:t xml:space="preserve"> Ironically</w:t>
      </w:r>
      <w:r>
        <w:t xml:space="preserve">, a global pandemic that was most likely caused by overexploitation of the natural environment </w:t>
      </w:r>
      <w:r>
        <w:fldChar w:fldCharType="begin"/>
      </w:r>
      <w:r>
        <w:instrText>ADDIN ZOTERO_ITEM CSL_CITATION {"citationID":"S9WIPcWz","properties":{"formattedCitation":"(Lytras et al., 2021)","plainCitation":"(Lytras et al., 2021)","noteIndex":0},"citationItems":[{"id":2815,"uris":["http://zotero.org/users/2170232/items/ESR89BWT"],"uri":["http://zotero.org/users/2170232/items/ESR89BWT"],"itemData":{"id":2815,"type":"article-journal","container-title":"Science","DOI":"10.1126/science.abh0117","issue":"6558","note":"publisher: American Association for the Advancement of Science","page":"968-970","source":"science.org (Atypon)","title":"The animal origin of SARS-CoV-2","volume":"373","author":[{"family":"Lytras","given":"Spyros"},{"family":"Xia","given":"Wei"},{"family":"Hughes","given":"Joseph"},{"family":"Jiang","given":"Xiaowei"},{"family":"Robertson","given":"David L."}],"issued":{"date-parts":[["2021",8,27]]}}}],"schema":"https://github.com/citation-style-language/schema/raw/master/csl-citation.json"}</w:instrText>
      </w:r>
      <w:r>
        <w:fldChar w:fldCharType="separate"/>
      </w:r>
      <w:bookmarkStart w:id="49" w:name="__Fieldmark__1129_362668386"/>
      <w:r>
        <w:rPr>
          <w:rFonts w:cs="Calibri"/>
        </w:rPr>
        <w:t>(</w:t>
      </w:r>
      <w:proofErr w:type="spellStart"/>
      <w:r>
        <w:rPr>
          <w:rFonts w:cs="Calibri"/>
        </w:rPr>
        <w:t>Lytras</w:t>
      </w:r>
      <w:proofErr w:type="spellEnd"/>
      <w:r>
        <w:rPr>
          <w:rFonts w:cs="Calibri"/>
        </w:rPr>
        <w:t xml:space="preserve"> et al., 2021)</w:t>
      </w:r>
      <w:r>
        <w:fldChar w:fldCharType="end"/>
      </w:r>
      <w:bookmarkEnd w:id="49"/>
      <w:r>
        <w:t xml:space="preserve"> is likely to cause a decrease in government spending on conservation, at least in the short term </w:t>
      </w:r>
      <w:r>
        <w:fldChar w:fldCharType="begin"/>
      </w:r>
      <w:r>
        <w:instrText>ADDIN ZOTERO_ITEM CSL_CITATION {"citationID":"NyKh25ZS","properties":{"formattedCitation":"(Corlett et al., 2020; Evans et al., 2020)","plainCitation":"(Corlett et al., 2020; Evans et al., 2020)","noteIndex":0},"citationItems":[{"id":2813,"uris":["http://zotero.org/users/2170232/items/T3IN52AQ"],"uri":["http://zotero.org/users/2170232/items/T3IN52AQ"],"itemData":{"id":2813,"type":"article-journal","container-title":"Biological Conservation","DOI":"10.1016/j.biocon.2020.108571","ISSN":"0006-3207","journalAbbreviation":"Biological Conservation","language":"en","page":"108571","source":"ScienceDirect","title":"Impacts of the coronavirus pandemic on biodiversity conservation","volume":"246","author":[{"family":"Corlett","given":"Richard T."},{"family":"Primack","given":"Richard B."},{"family":"Devictor","given":"Vincent"},{"family":"Maas","given":"Bea"},{"family":"Goswami","given":"Varun R."},{"family":"Bates","given":"Amanda E."},{"family":"Koh","given":"Lian Pin"},{"family":"Regan","given":"Tracey J."},{"family":"Loyola","given":"Rafael"},{"family":"Pakeman","given":"Robin J."},{"family":"Cumming","given":"Graeme S."},{"family":"Pidgeon","given":"Anna"},{"family":"Johns","given":"David"},{"family":"Roth","given":"Robin"}],"issued":{"date-parts":[["2020",6,1]]}}},{"id":2796,"uris":["http://zotero.org/users/2170232/items/DATMY44P"],"uri":["http://zotero.org/users/2170232/items/DATMY44P"],"itemData":{"id":2796,"type":"article-journal","container-title":"Animal Conservation","DOI":"10.1111/acv.12601","ISSN":"1469-1795","issue":"3","language":"en","note":"_eprint: https://zslpublications.onlinelibrary.wiley.com/doi/pdf/10.1111/acv.12601","page":"235-238","source":"Wiley Online Library","title":"Conservation in the maelstrom of Covid-19 – a call to action to solve the challenges, exploit opportunities and prepare for the next pandemic","volume":"23","author":[{"family":"Evans","given":"K. L."},{"family":"Ewen","given":"J. G."},{"family":"Guillera-Arroita","given":"G."},{"family":"Johnson","given":"J. A."},{"family":"Penteriani","given":"V."},{"family":"Ryan","given":"S. J."},{"family":"Sollmann","given":"R."},{"family":"Gordon","given":"I. J."}],"issued":{"date-parts":[["2020"]]}}}],"schema":"https://github.com/citation-style-language/schema/raw/master/csl-citation.json"}</w:instrText>
      </w:r>
      <w:r>
        <w:fldChar w:fldCharType="separate"/>
      </w:r>
      <w:bookmarkStart w:id="50" w:name="__Fieldmark__1134_362668386"/>
      <w:r>
        <w:rPr>
          <w:rFonts w:cs="Calibri"/>
        </w:rPr>
        <w:t>(Corlett et al., 2020; Evans et al., 2020)</w:t>
      </w:r>
      <w:r>
        <w:fldChar w:fldCharType="end"/>
      </w:r>
      <w:bookmarkEnd w:id="50"/>
      <w:r>
        <w:t xml:space="preserve">. There is increasing recognition that broadening the sources of conservation funding is necessary to both increase global spending on the environment and to diversify the sources, thus stabilising funding against inevitable future economic shocks </w:t>
      </w:r>
      <w:r>
        <w:fldChar w:fldCharType="begin"/>
      </w:r>
      <w:r>
        <w:instrText>ADDIN ZOTERO_ITEM CSL_CITATION {"citationID":"swVo7F25","properties":{"formattedCitation":"(Echols et al., 2019)","plainCitation":"(Echols et al., 2019)","noteIndex":0},"citationItems":[{"id":2785,"uris":["http://zotero.org/users/2170232/items/LTGDFZ3Q"],"uri":["http://zotero.org/users/2170232/items/LTGDFZ3Q"],"itemData":{"id":2785,"type":"article-journal","abstract":"Funding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funding","volume":"43","author":[{"family":"Echols","given":"Alex"},{"family":"Front","given":"Alan"},{"family":"Cummins","given":"James"}],"issued":{"date-parts":[["2019"]]}}}],"schema":"https://github.com/citation-style-language/schema/raw/master/csl-citation.json"}</w:instrText>
      </w:r>
      <w:r>
        <w:fldChar w:fldCharType="separate"/>
      </w:r>
      <w:bookmarkStart w:id="51" w:name="__Fieldmark__1139_362668386"/>
      <w:r>
        <w:rPr>
          <w:rFonts w:cs="Calibri"/>
        </w:rPr>
        <w:t>(Echols et al., 2019)</w:t>
      </w:r>
      <w:r>
        <w:fldChar w:fldCharType="end"/>
      </w:r>
      <w:bookmarkEnd w:id="51"/>
      <w:r>
        <w:t>.</w:t>
      </w:r>
    </w:p>
    <w:p w14:paraId="5EC246F3" w14:textId="5162CA8D" w:rsidR="008D517D" w:rsidRDefault="008D517D" w:rsidP="008D517D">
      <w:r>
        <w:t xml:space="preserve">There are numerous sources of funding that are available for conservationists to explore. Funding for the environment from philanthropic entities is increasing </w:t>
      </w:r>
      <w:r>
        <w:fldChar w:fldCharType="begin"/>
      </w:r>
      <w:r>
        <w:instrText>ADDIN ZOTERO_ITEM CSL_CITATION {"citationID":"6SpcmqVk","properties":{"formattedCitation":"(Gruby et al., 2021)","plainCitation":"(Gruby et al., 2021)","noteIndex":0},"citationItems":[{"id":2792,"uris":["http://zotero.org/users/2170232/items/EMY2HW2M"],"uri":["http://zotero.org/users/2170232/items/EMY2HW2M"],"itemData":{"id":2792,"type":"article-journal","abstract":"In the ‘new Gilded Age’ of mega-wealth and big philanthropy, academics are not paying enough attention to private foundations. Mirroring upward trends in philanthropy broadly, marine conservation philanthropy has more than doubled in recent years, reaching virtually every globally salient marine conservation issue in all corners of the planet. This paper argues that marine conservation philanthropy warrants a dedicated research agenda because private foundations are prominent, unique, and under-studied actors seeking to shape the future of a “frontier” space. We present a co-produced social science research agenda on marine conservation philanthropy that reflects the priorities of 106 marine conservation donors, practitioners, and stakeholders who participated in a research co-design process in 2018. These “research co-designers” raised 137 unique research questions, which we grouped into five thematic research priorities: outcomes, governance roles, exits, internal foundation governance, and funding landscape. We identify issues of legitimacy, justice, and applied best practice as cross-cutting research priorities that came up throughout the five themes. Participants from the NGO, foundation, and government sectors identified questions within all five themes and three cross-cutting issues, underscoring shared interest in this work from diverse groups. The research we call for herein can inform the practice of conservation philanthropy at a time when foundations are increasingly reckoning with their role as institutions of power in society. This paper is broadly relevant for social and natural scientists, practitioners, donors, and policy-makers interested in better understanding private philanthropy in any environmental context globally.","container-title":"Marine Policy","DOI":"10.1016/j.marpol.2021.104645","ISSN":"0308-597X","journalAbbreviation":"Marine Policy","language":"en","page":"104645","source":"ScienceDirect","title":"Opening the black box of conservation philanthropy: A co-produced research agenda on private foundations in marine conservation","title-short":"Opening the black box of conservation philanthropy","volume":"132","author":[{"family":"Gruby","given":"Rebecca L."},{"family":"Enrici","given":"Ashley"},{"family":"Betsill","given":"Michele"},{"family":"Le Cornu","given":"Elodie"},{"family":"Basurto","given":"Xavier"}],"issued":{"date-parts":[["2021",10,1]]}}}],"schema":"https://github.com/citation-style-language/schema/raw/master/csl-citation.json"}</w:instrText>
      </w:r>
      <w:r>
        <w:fldChar w:fldCharType="separate"/>
      </w:r>
      <w:bookmarkStart w:id="52" w:name="__Fieldmark__1146_362668386"/>
      <w:r>
        <w:rPr>
          <w:rFonts w:cs="Calibri"/>
        </w:rPr>
        <w:t>(</w:t>
      </w:r>
      <w:proofErr w:type="spellStart"/>
      <w:r>
        <w:rPr>
          <w:rFonts w:cs="Calibri"/>
        </w:rPr>
        <w:t>Gruby</w:t>
      </w:r>
      <w:proofErr w:type="spellEnd"/>
      <w:r>
        <w:rPr>
          <w:rFonts w:cs="Calibri"/>
        </w:rPr>
        <w:t xml:space="preserve"> et al., 2021)</w:t>
      </w:r>
      <w:r>
        <w:fldChar w:fldCharType="end"/>
      </w:r>
      <w:bookmarkEnd w:id="52"/>
      <w:r>
        <w:t xml:space="preserve">, and the influence of private foundations is growing </w:t>
      </w:r>
      <w:r>
        <w:fldChar w:fldCharType="begin"/>
      </w:r>
      <w:r>
        <w:instrText>ADDIN ZOTERO_ITEM CSL_CITATION {"citationID":"ZzE5aR00","properties":{"formattedCitation":"(Betsill et al., 2021)","plainCitation":"(Betsill et al., 2021)","noteIndex":0},"citationItems":[{"id":2809,"uris":["http://zotero.org/users/2170232/items/LLAIFTAS"],"uri":["http://zotero.org/users/2170232/items/LLAIFTAS"],"itemData":{"id":2809,"type":"article-journal","abstract":"Philanthropic foundations play increasingly prominent roles in the environmental arena, yet remain largely under the radar of environmental governance scholars. We build on the small body of existing research on foundations in environmental governance to outline a research agenda on foundations as agents of environmental governance. The agenda identifies current understandings, debates, and research gaps related to three themes: 1) the roles foundations perform in environmental governance, 2) the outcomes of environmental philanthropy, and 3) the sources of foundation legitimacy. We call for more systematic and empirical research using diverse theoretical perspectives and methodological approaches. This research agenda will contribute to literature on agency in environmental governance by providing a more comprehensive picture of who governs the environment and how. Coming at a time when foundations are facing growing public scrutiny, it can also inform contemporary debates and offer practical insights for effective and equitable environmental philanthropy.","container-title":"Environmental Politics","DOI":"10.1080/09644016.2021.1955494","ISSN":"0964-4016","issue":"0","note":"publisher: Routledge\n_eprint: https://doi.org/10.1080/09644016.2021.1955494","page":"1-22","source":"Taylor and Francis+NEJM","title":"Philanthropic foundations as agents of environmental governance:a research agenda","title-short":"Philanthropic foundations as agents of environmental governance","volume":"0","author":[{"family":"Betsill","given":"Michele M."},{"family":"Enrici","given":"Ashley"},{"family":"Le Cornu","given":"Elodie"},{"family":"Gruby","given":"Rebecca L."}],"issued":{"date-parts":[["2021",8,31]]}}}],"schema":"https://github.com/citation-style-language/schema/raw/master/csl-citation.json"}</w:instrText>
      </w:r>
      <w:r>
        <w:fldChar w:fldCharType="separate"/>
      </w:r>
      <w:bookmarkStart w:id="53" w:name="__Fieldmark__1151_362668386"/>
      <w:r>
        <w:rPr>
          <w:rFonts w:cs="Calibri"/>
        </w:rPr>
        <w:t>(</w:t>
      </w:r>
      <w:proofErr w:type="spellStart"/>
      <w:r>
        <w:rPr>
          <w:rFonts w:cs="Calibri"/>
        </w:rPr>
        <w:t>Betsill</w:t>
      </w:r>
      <w:proofErr w:type="spellEnd"/>
      <w:r>
        <w:rPr>
          <w:rFonts w:cs="Calibri"/>
        </w:rPr>
        <w:t xml:space="preserve"> et al., 2021)</w:t>
      </w:r>
      <w:r>
        <w:fldChar w:fldCharType="end"/>
      </w:r>
      <w:bookmarkEnd w:id="53"/>
      <w:r>
        <w:t xml:space="preserve">. As independent organisations, foundations have the potential to adapt their funding strategies and mechanisms to maximise effectiveness. If conservationists can provide evidence to support certain investment strategies, private foundations and other philanthropic entities are theoretically able to adapt accordingly. The idea of charitable giving that is evidence-based and results-orientated is already growing with the social movement known as ‘effective altruism’ </w:t>
      </w:r>
      <w:r>
        <w:fldChar w:fldCharType="begin"/>
      </w:r>
      <w:r>
        <w:instrText>ADDIN ZOTERO_ITEM CSL_CITATION {"citationID":"9PEzCcP1","properties":{"formattedCitation":"(Freeling and Connell, 2020)","plainCitation":"(Freeling and Connell, 2020)","noteIndex":0},"citationItems":[{"id":2805,"uris":["http://zotero.org/users/2170232/items/IR3BW9DS"],"uri":["http://zotero.org/users/2170232/items/IR3BW9DS"],"itemData":{"id":2805,"type":"article-journal","abstract":"People will pay to protect our environment. To encourage donations, it is fundamental to understand the values that motivate people. Here, we identify a new opportunity to attract donations from an emerging social movement to deliver benefits to the natural world.","container-title":"Trends in Ecology &amp; Evolution","DOI":"10.1016/j.tree.2019.09.002","ISSN":"0169-5347","issue":"1","journalAbbreviation":"Trends in Ecology &amp; Evolution","language":"en","page":"3-6","source":"ScienceDirect","title":"Funding Conservation through an Emerging Social Movement","volume":"35","author":[{"family":"Freeling","given":"Benjamin S."},{"family":"Connell","given":"Sean D."}],"issued":{"date-parts":[["2020",1,1]]}}}],"schema":"https://github.com/citation-style-language/schema/raw/master/csl-citation.json"}</w:instrText>
      </w:r>
      <w:r>
        <w:fldChar w:fldCharType="separate"/>
      </w:r>
      <w:bookmarkStart w:id="54" w:name="__Fieldmark__1157_362668386"/>
      <w:r>
        <w:rPr>
          <w:rFonts w:cs="Calibri"/>
        </w:rPr>
        <w:t>(Freeling and Connell, 2020)</w:t>
      </w:r>
      <w:r>
        <w:fldChar w:fldCharType="end"/>
      </w:r>
      <w:bookmarkEnd w:id="54"/>
      <w:r>
        <w:t xml:space="preserve">, giving the conservation sector an opportunity to shape the charitable funding landscape using empirical evidence. Global environmental agendas have driven the creation of global funds such as the </w:t>
      </w:r>
      <w:proofErr w:type="spellStart"/>
      <w:r>
        <w:t>BioCarbon</w:t>
      </w:r>
      <w:proofErr w:type="spellEnd"/>
      <w:r>
        <w:t xml:space="preserve"> Fund managed by the world bank (</w:t>
      </w:r>
      <w:hyperlink r:id="rId12">
        <w:r>
          <w:rPr>
            <w:rStyle w:val="InternetLink"/>
          </w:rPr>
          <w:t>www.biocarbonfund-isfl.org</w:t>
        </w:r>
      </w:hyperlink>
      <w:r>
        <w:t>), the Global Environment Facility (</w:t>
      </w:r>
      <w:hyperlink r:id="rId13">
        <w:r>
          <w:rPr>
            <w:rStyle w:val="InternetLink"/>
          </w:rPr>
          <w:t>www.thegef.org</w:t>
        </w:r>
      </w:hyperlink>
      <w:r>
        <w:t>), and the Green Climate Fund (</w:t>
      </w:r>
      <w:r>
        <w:rPr>
          <w:rStyle w:val="InternetLink"/>
        </w:rPr>
        <w:t>www.greenclimate.fund</w:t>
      </w:r>
      <w:r>
        <w:rPr>
          <w:rStyle w:val="InternetLink"/>
          <w:color w:val="auto"/>
          <w:u w:val="none"/>
        </w:rPr>
        <w:t>), all</w:t>
      </w:r>
      <w:r>
        <w:t xml:space="preserve"> of which</w:t>
      </w:r>
      <w:r w:rsidR="004B14DA">
        <w:t xml:space="preserve"> still operate within the grant-based model, yet</w:t>
      </w:r>
      <w:r>
        <w:t xml:space="preserve"> are large enough to operate at a variety of spatial and temporal scales </w:t>
      </w:r>
      <w:r>
        <w:fldChar w:fldCharType="begin"/>
      </w:r>
      <w:r>
        <w:instrText>ADDIN ZOTERO_ITEM CSL_CITATION {"citationID":"o8N48RsD","properties":{"formattedCitation":"(Clark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55" w:name="__Fieldmark__1174_362668386"/>
      <w:r>
        <w:rPr>
          <w:rFonts w:cs="Calibri"/>
        </w:rPr>
        <w:t>(Clark et al., 2018)</w:t>
      </w:r>
      <w:r>
        <w:fldChar w:fldCharType="end"/>
      </w:r>
      <w:bookmarkEnd w:id="55"/>
      <w:r>
        <w:t xml:space="preserve">. </w:t>
      </w:r>
    </w:p>
    <w:p w14:paraId="6A18434F" w14:textId="77777777" w:rsidR="008B2431" w:rsidRDefault="008D517D" w:rsidP="008D517D">
      <w:r>
        <w:t xml:space="preserve">Payment for environmental services (PES) schemes are market-based mechanisms that can provide additional, and potentially long-term, funding for conservation by providing financial incentives for certain land management practices that preserve benefits generated by natural systems </w:t>
      </w:r>
      <w:r>
        <w:fldChar w:fldCharType="begin"/>
      </w:r>
      <w:r>
        <w:instrText xml:space="preserve"> ADDIN ZOTERO_ITEM CSL_CITATION {"citationID":"JwsZF0T7","properties":{"formattedCitation":"(Redford and Adams, 2009)","plainCitation":"(Redford and Adams, 2009)","noteIndex":0},"citationItems":[{"id":2872,"uris":["http://zotero.org/users/2170232/items/Q66CXYTS"],"uri":["http://zotero.org/users/2170232/items/Q66CXYTS"],"itemData":{"id":2872,"type":"article-journal","container-title":"Conservation Biology","DOI":"10.1111/j.1523-1739.2009.01271.x","ISSN":"1523-1739","issue":"4","language":"en","note":"_eprint: https://onlinelibrary.wiley.com/doi/pdf/10.1111/j.1523-1739.2009.01271.x","page":"785-787","source":"Wiley Online Library","title":"Payment for Ecosystem Services and the Challenge of Saving Nature","volume":"23","author":[{"family":"Redford","given":"Kent H."},{"family":"Adams","given":"William M."}],"issued":{"date-parts":[["2009"]]}}}],"schema":"https://github.com/citation-style-language/schema/raw/master/csl-citation.json"} </w:instrText>
      </w:r>
      <w:r>
        <w:fldChar w:fldCharType="separate"/>
      </w:r>
      <w:r w:rsidRPr="003F20B0">
        <w:rPr>
          <w:rFonts w:ascii="Calibri" w:hAnsi="Calibri" w:cs="Calibri"/>
        </w:rPr>
        <w:t>(Redford and Adams, 2009)</w:t>
      </w:r>
      <w:r>
        <w:fldChar w:fldCharType="end"/>
      </w:r>
      <w:r>
        <w:t xml:space="preserve">. Over the last two decades, the number of PES programmes have expanded rapidly around the world, with over 550 active programmes covering watersheds, biodiversity and habitats, and forest and carbon </w:t>
      </w:r>
      <w:r>
        <w:fldChar w:fldCharType="begin"/>
      </w:r>
      <w:r>
        <w:instrText xml:space="preserve"> ADDIN ZOTERO_ITEM CSL_CITATION {"citationID":"dlo2I8KU","properties":{"formattedCitation":"(Salzman et al., 2018)","plainCitation":"(Salzman et al., 2018)","noteIndex":0},"citationItems":[{"id":2822,"uris":["http://zotero.org/users/2170232/items/HRZYTNZP"],"uri":["http://zotero.org/users/2170232/items/HRZYTNZP"],"itemData":{"id":2822,"type":"article-journal","abstract":"Recent decades have witnessed a considerable increase in Payments for Ecosystem Services (PES)—programmes that exchange value for land management practices intended to provide or ensure ecosystem services—with over 550 active programmes around the globe and an estimated US$36–42 billion in annual transactions. PES represent a recent policy instrument with often very different programmes operating at local, regional and national levels. Despite the growth of these programmes, comprehensive and reliable data have proven difficult to find. This Analysis provides an assessment of the trends and current status of PES mechanisms—user-financed, government-financed and compliance—across the domains of water, biodiversity, and forest and land-use carbon around the world. We report the various dimensions of growth over the past decade (number of programmes, geographical spread, dollar value) to understand better the range of PES mechanisms over time and to examine which factors have contributed to or hindered growth. Four key features stand out for scaling up PES: motivated buyers, motivated sellers, metrics and low-transaction-cost institutions.","container-title":"Nature Sustainability","DOI":"10.1038/s41893-018-0033-0","ISSN":"2398-9629","issue":"3","journalAbbreviation":"Nat Sustain","language":"en","note":"Bandiera_abtest: a\nCg_type: Nature Research Journals\nnumber: 3\nPrimary_atype: Research\npublisher: Nature Publishing Group\nSubject_term: Ecosystem services;Environmental economics;Sustainability\nSubject_term_id: ecosystem-services;environmental-economics;sustainability","page":"136-144","source":"www.nature.com","title":"The global status and trends of Payments for Ecosystem Services","volume":"1","author":[{"family":"Salzman","given":"James"},{"family":"Bennett","given":"Genevieve"},{"family":"Carroll","given":"Nathaniel"},{"family":"Goldstein","given":"Allie"},{"family":"Jenkins","given":"Michael"}],"issued":{"date-parts":[["2018",3]]}}}],"schema":"https://github.com/citation-style-language/schema/raw/master/csl-citation.json"} </w:instrText>
      </w:r>
      <w:r>
        <w:fldChar w:fldCharType="separate"/>
      </w:r>
      <w:r w:rsidRPr="00A457CE">
        <w:rPr>
          <w:rFonts w:ascii="Calibri" w:hAnsi="Calibri" w:cs="Calibri"/>
        </w:rPr>
        <w:t>(Salzman et al., 2018)</w:t>
      </w:r>
      <w:r>
        <w:fldChar w:fldCharType="end"/>
      </w:r>
      <w:r>
        <w:t xml:space="preserve">. In contrast to traditional grant-based funding, PES has the potential to provide steady, long-term funds for conservation </w:t>
      </w:r>
      <w:r>
        <w:fldChar w:fldCharType="begin"/>
      </w:r>
      <w:r>
        <w:instrText xml:space="preserve"> ADDIN ZOTERO_ITEM CSL_CITATION {"citationID":"8vfnGeDv","properties":{"formattedCitation":"(Hein et al., 2013)","plainCitation":"(Hein et al., 2013)","noteIndex":0},"citationItems":[{"id":2828,"uris":["http://zotero.org/users/2170232/items/VFMQNNYK"],"uri":["http://zotero.org/users/2170232/items/VFMQNNYK"],"itemData":{"id":2828,"type":"article-journal","abstract":"It is generally recognized that addressing the ongoing loss of global biodiversity requires a substantial increase in funding for conservation activities, particularly in developing countries. An increasing interest in Payment Mechanisms for Ecosystem Services (PES) begs the question of whether a focus on developing payment mechanisms will also reduce the ongoing loss of global biodiversity. We review, firstly, current flows of funds for biodiversity conservation, including PES and other market mechanisms, and secondly, the opportunities and constraints of PES to contribute to biodiversity protection globally. We argue that PES can and should make an important contribution, but that it will not be sufficient to rely on PES alone to finance the actions necessary to substantially reduce biodiversity loss. In response to the identified constraints, we believe there is a need to develop additional funding mechanisms specifically targeted at biodiversity conservation.","collection-title":"Terrestrial systems","container-title":"Current Opinion in Environmental Sustainability","DOI":"10.1016/j.cosust.2012.12.004","ISSN":"1877-3435","issue":"1","journalAbbreviation":"Current Opinion in Environmental Sustainability","language":"en","page":"87-93","source":"ScienceDirect","title":"Payments for ecosystem services and the financing of global biodiversity conservation","volume":"5","author":[{"family":"Hein","given":"Lars"},{"family":"Miller","given":"Daniel C"},{"family":"Groot","given":"Rudolf","non-dropping-particle":"de"}],"issued":{"date-parts":[["2013",3,1]]}}}],"schema":"https://github.com/citation-style-language/schema/raw/master/csl-citation.json"} </w:instrText>
      </w:r>
      <w:r>
        <w:fldChar w:fldCharType="separate"/>
      </w:r>
      <w:r w:rsidRPr="00733289">
        <w:rPr>
          <w:rFonts w:ascii="Calibri" w:hAnsi="Calibri" w:cs="Calibri"/>
        </w:rPr>
        <w:t>(Hein et al., 2013)</w:t>
      </w:r>
      <w:r>
        <w:fldChar w:fldCharType="end"/>
      </w:r>
      <w:r>
        <w:t xml:space="preserve">. This potential is, however, contingent on the motivations of participants of a given scheme and their willingness to participate over the long-term </w:t>
      </w:r>
      <w:r>
        <w:fldChar w:fldCharType="begin"/>
      </w:r>
      <w:r>
        <w:instrText xml:space="preserve"> ADDIN ZOTERO_ITEM CSL_CITATION {"citationID":"Rr34sRWh","properties":{"formattedCitation":"(Fisher, 2012)","plainCitation":"(Fisher, 2012)","noteIndex":0},"citationItems":[{"id":2874,"uris":["http://zotero.org/users/2170232/items/CPUXPQAF"],"uri":["http://zotero.org/users/2170232/items/CPUXPQAF"],"itemData":{"id":2874,"type":"article-journal","abstract":"A key question in the literature on payments for ecosystem services (PES) is how payments incentivize conservation action and, in particular, how they interact with other motivations, including motivations for environmental stewardship. Related to this question are concerns about the temporal sustainability of PES: what happens when payments cease and whether a ‘no pay, no care’ environmental ethic is fostered. I present empirical research from a case study in western Uganda, where forest-adjacent communities are paid in exchange for planting trees on private lands, for carbon sequestration. The study demonstrates the range of values people have for trees in the landscape and the range of motivations for participating in PES schemes. However, the analysis shows that payments are clearly the main motivation for involvement, except in one area where people are more motivated by aesthetic and existence values for trees. Given the widespread importance of money in motivating involvement, I investigate the profitability of participation over time. This profitability analysis, in combination with qualitative data on perceptions of, and plans for, the future, contributes to understanding the temporal sustainability of PES. I draw on various strands of evidence to argue that the way participants prioritize payments may constitute a threat to the long-term maintenance of PES activities, particularly in situations such as in this case study, in which there is a mismatch between payments and contract length.","container-title":"Oryx","DOI":"10.1017/S0030605311001384","ISSN":"1365-3008, 0030-6053","issue":"1","language":"en","note":"publisher: Cambridge University Press","page":"45-54","source":"Cambridge University Press","title":"No pay, no care? A case study exploring motivations for participation in payments for ecosystem services in Uganda","title-short":"No pay, no care?","volume":"46","author":[{"family":"Fisher","given":"Janet"}],"issued":{"date-parts":[["2012",1]]}}}],"schema":"https://github.com/citation-style-language/schema/raw/master/csl-citation.json"} </w:instrText>
      </w:r>
      <w:r>
        <w:fldChar w:fldCharType="separate"/>
      </w:r>
      <w:r w:rsidRPr="00733289">
        <w:rPr>
          <w:rFonts w:ascii="Calibri" w:hAnsi="Calibri" w:cs="Calibri"/>
        </w:rPr>
        <w:t>(Fisher, 2012)</w:t>
      </w:r>
      <w:r>
        <w:fldChar w:fldCharType="end"/>
      </w:r>
      <w:r>
        <w:t xml:space="preserve">. </w:t>
      </w:r>
    </w:p>
    <w:p w14:paraId="5E28B915" w14:textId="770085C1" w:rsidR="008D517D" w:rsidRDefault="008D517D" w:rsidP="008D517D">
      <w:r>
        <w:t xml:space="preserve">There are many case studies that demonstrate successful PES projects </w:t>
      </w:r>
      <w:r>
        <w:fldChar w:fldCharType="begin"/>
      </w:r>
      <w:r>
        <w:instrText xml:space="preserve"> ADDIN ZOTERO_ITEM CSL_CITATION {"citationID":"bdsaExIY","properties":{"formattedCitation":"(Clements and Milner-Gulland, 2015; Ingram et al., 2014; Jayachandran et al., 2016; Zheng et al., 2013)","plainCitation":"(Clements and Milner-Gulland, 2015; Ingram et al., 2014; Jayachandran et al., 2016; Zheng et al., 2013)","dontUpdate":true,"noteIndex":0},"citationItems":[{"id":2854,"uris":["http://zotero.org/users/2170232/items/Y6P4VP5J"],"uri":["http://zotero.org/users/2170232/items/Y6P4VP5J"],"itemData":{"id":2854,"type":"article-journal","abstract":"The potential impacts of payments for environmental services (PES) and protected areas (PAs) on environmental outcomes and local livelihoods in developing countries are contentious and have been widely debated. The available evidence is sparse, with few rigorous evaluations of the environmental and social impacts of PAs and particularly of PES. We measured the impacts on forests and human well-being of three different PES programs instituted within two PAs in northern Cambodia, using a panel of intervention villages and matched controls. Both PES and PAs delivered additional environmental outcomes relative to the counterfactual: reducing deforestation rates significantly relative to controls. PAs increased security of access to land and forest resources for local households, benefiting forest resource users but restricting households’ ability to expand and diversify their agriculture. The impacts of PES on household well-being were related to the magnitude of the payments provided. The two higher paying market-linked PES programs had significant positive impacts, whereas a lower paying program that targeted biodiversity protection had no detectable effect on livelihoods, despite its positive environmental outcomes. Households that signed up for the higher paying PES programs, however, typically needed more capital assets; hence, they were less poor and more food secure than other villagers. Therefore, whereas the impacts of PAs on household well-being were limited overall and varied between livelihood strategies, the PES programs had significant positive impacts on livelihoods for those that could afford to participate. Our results are consistent with theories that PES, when designed appropriately, can be a powerful new tool for delivering conservation goals whilst benefiting local people.","container-title":"Conservation Biology","DOI":"10.1111/cobi.12423","ISSN":"1523-1739","issue":"1","language":"es","note":"_eprint: https://onlinelibrary.wiley.com/doi/pdf/10.1111/cobi.12423","page":"78-87","source":"Wiley Online Library","title":"Impact of payments for environmental services and protected areas on local livelihoods and forest conservation in northern Cambodia","volume":"29","author":[{"family":"Clements","given":"Tom"},{"family":"Milner-Gulland","given":"E. J."}],"issued":{"date-parts":[["2015"]]}}},{"id":2826,"uris":["http://zotero.org/users/2170232/items/F96WIQCU"],"uri":["http://zotero.org/users/2170232/items/F96WIQCU"],"itemData":{"id":2826,"type":"article-journal","abstract":"Payments for Ecosystem Services (PES) represent a mechanism for promoting sustainable management of ecosystem services, and can also be useful for supporting rural development. However, few studies have demonstrated quantitatively the benefits for biodiversity and rural communities resulting from PES. In this paper we review four initiatives in Guatemala, Cambodia, and Tanzania that were designed to support the conservation of biodiversity through the use of community-based PES. Each case study documents the utility of PES for conserving biodiversity and enhancing rural livelihoods and, from these examples, we distill general lessons learned about the use of PES for conserving biodiversity and supporting poverty reduction in rural areas of tropical, developing countries.","container-title":"Ecosystem Services","DOI":"10.1016/j.ecoser.2013.12.003","ISSN":"2212-0416","journalAbbreviation":"Ecosystem Services","language":"en","page":"10-21","source":"ScienceDirect","title":"Evidence of Payments for Ecosystem Services as a mechanism for supporting biodiversity conservation and rural livelihoods","volume":"7","author":[{"family":"Ingram","given":"Jane Carter"},{"family":"Wilkie","given":"David"},{"family":"Clements","given":"Tom"},{"family":"McNab","given":"Roan Balas"},{"family":"Nelson","given":"Fred"},{"family":"Baur","given":"Erick Hogan"},{"family":"Sachedina","given":"Hassanali T."},{"family":"Peterson","given":"David Dean"},{"family":"Foley","given":"Charles Andrew Harold"}],"issued":{"date-parts":[["2014",3,1]]}}},{"id":2876,"uris":["http://zotero.org/users/2170232/items/STDTRNXD"],"uri":["http://zotero.org/users/2170232/items/STDTRNXD"],"itemData":{"id":2876,"type":"report","abstract":"This paper evaluates a Payments for Ecosystem Services (PES) program in western Uganda that offered forest-owning households cash payments if they conserved their forest. The program was implemented as a randomized trial in 121 villages, 60 of which received the program for two years. The PES program reduced deforestation and forest degradation: Tree cover, measured using high-resolution satellite imagery, declined by 2% to 5% in treatment villages compared to 7% to 10% in control villages during the study period. We find no evidence of shifting of tree-cutting to nearby land. We then use the estimated effect size and the \"social cost of carbon\" to value the delayed carbon dioxide emissions, and compare this benefit to the program's cost.","genre":"Working Paper","note":"collection-title: Working Paper Series\nDOI: 10.3386/w22378","number":"22378","publisher":"National Bureau of Economic Research","source":"National Bureau of Economic Research","title":"Cash for Carbon: A Randomized Controlled Trial of Payments for Ecosystem Services to Reduce Deforestation","title-short":"Cash for Carbon","URL":"https://www.nber.org/papers/w22378","author":[{"family":"Jayachandran","given":"Seema"},{"family":"Laat","given":"Joost","non-dropping-particle":"de"},{"family":"Lambin","given":"Eric F."},{"family":"Stanton","given":"Charlotte Y."}],"accessed":{"date-parts":[["2021",10,13]]},"issued":{"date-parts":[["2016",6]]}}},{"id":2877,"uris":["http://zotero.org/users/2170232/items/WLK6H5LT"],"uri":["http://zotero.org/users/2170232/items/WLK6H5LT"],"itemData":{"id":2877,"type":"article-journal","abstract":"Despite broad interest in using payment for ecosystem services to promote changes in the use of natural capital, there are few expost assessments of impacts of payment for ecosystem services programs on ecosystem service provision, program cost, and changes in livelihoods resulting from program participation. In this paper, we evaluate the Paddy Land-to-Dry Land (PLDL) program in Beijing, China, and associated changes in service providers’ livelihood activities. The PLDL is a land use conversion program that aims to protect water quality and quantity for the only surface water reservoir that serves Beijing, China’s capital city with nearly 20 million residents. Our analysis integrates hydrologic data with household survey data and shows that the PLDL generates benefits of improved water quantity and quality that exceed the costs of reduced agricultural output. The PLDL has an overall benefit–cost ratio of 1.5, and both downstream beneficiaries and upstream providers gain from the program. Household data show that changes in livelihood activities may offset some of the desired effects of the program through increased expenditures on agricultural fertilizers. Overall, however, reductions in fertilizer leaching from land use change dominate so that the program still has a positive net impact on water quality. This program is a successful example of water users paying upstream landholders to improve water quantity and quality through land use change. Program evaluation also highlights the importance of considering behavioral changes by program participants.","container-title":"Proceedings of the National Academy of Sciences","DOI":"10.1073/pnas.1312324110","ISSN":"0027-8424, 1091-6490","issue":"41","journalAbbreviation":"PNAS","language":"en","note":"publisher: National Academy of Sciences\nsection: Biological Sciences\nPMID: 24003160","page":"16681-16686","source":"www.pnas.org","title":"Benefits, costs, and livelihood implications of a regional payment for ecosystem service program","volume":"110","author":[{"family":"Zheng","given":"Hua"},{"family":"Robinson","given":"Brian E."},{"family":"Liang","given":"Yi-Cheng"},{"family":"Polasky","given":"Stephen"},{"family":"Ma","given":"Dong-Chun"},{"family":"Wang","given":"Feng-Chun"},{"family":"Ruckelshaus","given":"Mary"},{"family":"Ouyang","given":"Zhi-Yun"},{"family":"Daily","given":"Gretchen C."}],"issued":{"date-parts":[["2013",10,8]]}}}],"schema":"https://github.com/citation-style-language/schema/raw/master/csl-citation.json"} </w:instrText>
      </w:r>
      <w:r>
        <w:fldChar w:fldCharType="separate"/>
      </w:r>
      <w:r w:rsidRPr="00BC1DD8">
        <w:rPr>
          <w:rFonts w:ascii="Calibri" w:hAnsi="Calibri" w:cs="Calibri"/>
        </w:rPr>
        <w:t>(</w:t>
      </w:r>
      <w:r>
        <w:rPr>
          <w:rFonts w:ascii="Calibri" w:hAnsi="Calibri" w:cs="Calibri"/>
        </w:rPr>
        <w:t xml:space="preserve">e.g., </w:t>
      </w:r>
      <w:r w:rsidRPr="00BC1DD8">
        <w:rPr>
          <w:rFonts w:ascii="Calibri" w:hAnsi="Calibri" w:cs="Calibri"/>
        </w:rPr>
        <w:t>Clements and Milner-Gulland, 2015; Ingram et al., 2014; Jayachandran et al., 2016; Zheng et al., 2013)</w:t>
      </w:r>
      <w:r>
        <w:fldChar w:fldCharType="end"/>
      </w:r>
      <w:r>
        <w:t xml:space="preserve">, yet a lack of effective monitoring of PES programmes globally means there is still insufficient evidence that these market-based mechanisms provide a net benefit to nature </w:t>
      </w:r>
      <w:r>
        <w:fldChar w:fldCharType="begin"/>
      </w:r>
      <w:r>
        <w:instrText xml:space="preserve"> ADDIN ZOTERO_ITEM CSL_CITATION {"citationID":"9OxK16vX","properties":{"formattedCitation":"(Ingram et al., 2014; Salzman et al., 2018)","plainCitation":"(Ingram et al., 2014; Salzman et al., 2018)","noteIndex":0},"citationItems":[{"id":2826,"uris":["http://zotero.org/users/2170232/items/F96WIQCU"],"uri":["http://zotero.org/users/2170232/items/F96WIQCU"],"itemData":{"id":2826,"type":"article-journal","abstract":"Payments for Ecosystem Services (PES) represent a mechanism for promoting sustainable management of ecosystem services, and can also be useful for supporting rural development. However, few studies have demonstrated quantitatively the benefits for biodiversity and rural communities resulting from PES. In this paper we review four initiatives in Guatemala, Cambodia, and Tanzania that were designed to support the conservation of biodiversity through the use of community-based PES. Each case study documents the utility of PES for conserving biodiversity and enhancing rural livelihoods and, from these examples, we distill general lessons learned about the use of PES for conserving biodiversity and supporting poverty reduction in rural areas of tropical, developing countries.","container-title":"Ecosystem Services","DOI":"10.1016/j.ecoser.2013.12.003","ISSN":"2212-0416","journalAbbreviation":"Ecosystem Services","language":"en","page":"10-21","source":"ScienceDirect","title":"Evidence of Payments for Ecosystem Services as a mechanism for supporting biodiversity conservation and rural livelihoods","volume":"7","author":[{"family":"Ingram","given":"Jane Carter"},{"family":"Wilkie","given":"David"},{"family":"Clements","given":"Tom"},{"family":"McNab","given":"Roan Balas"},{"family":"Nelson","given":"Fred"},{"family":"Baur","given":"Erick Hogan"},{"family":"Sachedina","given":"Hassanali T."},{"family":"Peterson","given":"David Dean"},{"family":"Foley","given":"Charles Andrew Harold"}],"issued":{"date-parts":[["2014",3,1]]}}},{"id":2822,"uris":["http://zotero.org/users/2170232/items/HRZYTNZP"],"uri":["http://zotero.org/users/2170232/items/HRZYTNZP"],"itemData":{"id":2822,"type":"article-journal","abstract":"Recent decades have witnessed a considerable increase in Payments for Ecosystem Services (PES)—programmes that exchange value for land management practices intended to provide or ensure ecosystem services—with over 550 active programmes around the globe and an estimated US$36–42 billion in annual transactions. PES represent a recent policy instrument with often very different programmes operating at local, regional and national levels. Despite the growth of these programmes, comprehensive and reliable data have proven difficult to find. This Analysis provides an assessment of the trends and current status of PES mechanisms—user-financed, government-financed and compliance—across the domains of water, biodiversity, and forest and land-use carbon around the world. We report the various dimensions of growth over the past decade (number of programmes, geographical spread, dollar value) to understand better the range of PES mechanisms over time and to examine which factors have contributed to or hindered growth. Four key features stand out for scaling up PES: motivated buyers, motivated sellers, metrics and low-transaction-cost institutions.","container-title":"Nature Sustainability","DOI":"10.1038/s41893-018-0033-0","ISSN":"2398-9629","issue":"3","journalAbbreviation":"Nat Sustain","language":"en","note":"Bandiera_abtest: a\nCg_type: Nature Research Journals\nnumber: 3\nPrimary_atype: Research\npublisher: Nature Publishing Group\nSubject_term: Ecosystem services;Environmental economics;Sustainability\nSubject_term_id: ecosystem-services;environmental-economics;sustainability","page":"136-144","source":"www.nature.com","title":"The global status and trends of Payments for Ecosystem Services","volume":"1","author":[{"family":"Salzman","given":"James"},{"family":"Bennett","given":"Genevieve"},{"family":"Carroll","given":"Nathaniel"},{"family":"Goldstein","given":"Allie"},{"family":"Jenkins","given":"Michael"}],"issued":{"date-parts":[["2018",3]]}}}],"schema":"https://github.com/citation-style-language/schema/raw/master/csl-citation.json"} </w:instrText>
      </w:r>
      <w:r>
        <w:fldChar w:fldCharType="separate"/>
      </w:r>
      <w:r w:rsidRPr="00BC1DD8">
        <w:rPr>
          <w:rFonts w:ascii="Calibri" w:hAnsi="Calibri" w:cs="Calibri"/>
        </w:rPr>
        <w:t>(Ingram et al., 2014; Salzman et al., 2018)</w:t>
      </w:r>
      <w:r>
        <w:fldChar w:fldCharType="end"/>
      </w:r>
      <w:r>
        <w:t xml:space="preserve">. Although likely an important component of the conservation toolbox, and a potential source of stable, long-term funding for conservation, the development of PES projects should be careful, context-specific, and designed with robust monitoring to ensure long-term effectiveness </w:t>
      </w:r>
      <w:r>
        <w:fldChar w:fldCharType="begin"/>
      </w:r>
      <w:r>
        <w:instrText xml:space="preserve"> ADDIN ZOTERO_ITEM CSL_CITATION {"citationID":"1XPnaDA2","properties":{"formattedCitation":"(Hein et al., 2013; Redford and Adams, 2009)","plainCitation":"(Hein et al., 2013; Redford and Adams, 2009)","noteIndex":0},"citationItems":[{"id":2828,"uris":["http://zotero.org/users/2170232/items/VFMQNNYK"],"uri":["http://zotero.org/users/2170232/items/VFMQNNYK"],"itemData":{"id":2828,"type":"article-journal","abstract":"It is generally recognized that addressing the ongoing loss of global biodiversity requires a substantial increase in funding for conservation activities, particularly in developing countries. An increasing interest in Payment Mechanisms for Ecosystem Services (PES) begs the question of whether a focus on developing payment mechanisms will also reduce the ongoing loss of global biodiversity. We review, firstly, current flows of funds for biodiversity conservation, including PES and other market mechanisms, and secondly, the opportunities and constraints of PES to contribute to biodiversity protection globally. We argue that PES can and should make an important contribution, but that it will not be sufficient to rely on PES alone to finance the actions necessary to substantially reduce biodiversity loss. In response to the identified constraints, we believe there is a need to develop additional funding mechanisms specifically targeted at biodiversity conservation.","collection-title":"Terrestrial systems","container-title":"Current Opinion in Environmental Sustainability","DOI":"10.1016/j.cosust.2012.12.004","ISSN":"1877-3435","issue":"1","journalAbbreviation":"Current Opinion in Environmental Sustainability","language":"en","page":"87-93","source":"ScienceDirect","title":"Payments for ecosystem services and the financing of global biodiversity conservation","volume":"5","author":[{"family":"Hein","given":"Lars"},{"family":"Miller","given":"Daniel C"},{"family":"Groot","given":"Rudolf","non-dropping-particle":"de"}],"issued":{"date-parts":[["2013",3,1]]}}},{"id":2872,"uris":["http://zotero.org/users/2170232/items/Q66CXYTS"],"uri":["http://zotero.org/users/2170232/items/Q66CXYTS"],"itemData":{"id":2872,"type":"article-journal","container-title":"Conservation Biology","DOI":"10.1111/j.1523-1739.2009.01271.x","ISSN":"1523-1739","issue":"4","language":"en","note":"_eprint: https://onlinelibrary.wiley.com/doi/pdf/10.1111/j.1523-1739.2009.01271.x","page":"785-787","source":"Wiley Online Library","title":"Payment for Ecosystem Services and the Challenge of Saving Nature","volume":"23","author":[{"family":"Redford","given":"Kent H."},{"family":"Adams","given":"William M."}],"issued":{"date-parts":[["2009"]]}}}],"schema":"https://github.com/citation-style-language/schema/raw/master/csl-citation.json"} </w:instrText>
      </w:r>
      <w:r>
        <w:fldChar w:fldCharType="separate"/>
      </w:r>
      <w:r w:rsidRPr="00BC1DD8">
        <w:rPr>
          <w:rFonts w:ascii="Calibri" w:hAnsi="Calibri" w:cs="Calibri"/>
        </w:rPr>
        <w:t>(Hein et al., 2013; Redford and Adams, 2009)</w:t>
      </w:r>
      <w:r>
        <w:fldChar w:fldCharType="end"/>
      </w:r>
      <w:r>
        <w:t xml:space="preserve">.  </w:t>
      </w:r>
    </w:p>
    <w:p w14:paraId="5B514E8B" w14:textId="7F312186" w:rsidR="008D517D" w:rsidRDefault="008D517D" w:rsidP="008D517D">
      <w:r>
        <w:t xml:space="preserve">Another promising avenue for market-based environmental funding is private finance, the power of which is yet to be fully realised </w:t>
      </w:r>
      <w:r>
        <w:fldChar w:fldCharType="begin"/>
      </w:r>
      <w:r>
        <w:instrText>ADDIN ZOTERO_ITEM CSL_CITATION {"citationID":"noSP6V8z","properties":{"formattedCitation":"(Clark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56" w:name="__Fieldmark__1181_362668386"/>
      <w:r>
        <w:rPr>
          <w:rFonts w:cs="Calibri"/>
        </w:rPr>
        <w:t>(Clark et al., 2018)</w:t>
      </w:r>
      <w:r>
        <w:fldChar w:fldCharType="end"/>
      </w:r>
      <w:bookmarkEnd w:id="56"/>
      <w:r>
        <w:t xml:space="preserve">. This is largely because the environmental sector has thus far failed to provide projects that are investable, scalable, and low risk </w:t>
      </w:r>
      <w:r>
        <w:fldChar w:fldCharType="begin"/>
      </w:r>
      <w:r>
        <w:instrText>ADDIN ZOTERO_ITEM CSL_CITATION {"citationID":"v77w7PY4","properties":{"formattedCitation":"(McFarland, 2018)","plainCitation":"(McFarland, 2018)","noteIndex":0},"citationItems":[{"id":2812,"uris":["http://zotero.org/users/2170232/items/FQLJN2Z3"],"uri":["http://zotero.org/users/2170232/items/FQLJN2Z3"],"itemData":{"id":2812,"type":"chapter","collection-title":"Palgrave studies in environmental policy and regulation","container-title":"Conservation of tropical rainforests","event-place":"Cham","ISBN":"978-3-319-63236-0","publisher":"Palgrave Macmillan","publisher-place":"Cham","title":"The future of tropical forest conservation finance","author":[{"family":"McFarland","given":"BJ"}],"issued":{"date-parts":[["2018"]]}}}],"schema":"https://github.com/citation-style-language/schema/raw/master/csl-citation.json"}</w:instrText>
      </w:r>
      <w:r>
        <w:fldChar w:fldCharType="separate"/>
      </w:r>
      <w:bookmarkStart w:id="57" w:name="__Fieldmark__1186_362668386"/>
      <w:r>
        <w:rPr>
          <w:rFonts w:cs="Calibri"/>
        </w:rPr>
        <w:t>(McFarland, 2018)</w:t>
      </w:r>
      <w:r>
        <w:fldChar w:fldCharType="end"/>
      </w:r>
      <w:bookmarkEnd w:id="57"/>
      <w:r>
        <w:t xml:space="preserve">. Leveraging of private sector finance is increasing, and is being achieved through a variety of </w:t>
      </w:r>
      <w:r>
        <w:lastRenderedPageBreak/>
        <w:t xml:space="preserve">mechanisms including 1) national development banks which provide credit and finance to underfunded areas of society </w:t>
      </w:r>
      <w:r>
        <w:fldChar w:fldCharType="begin"/>
      </w:r>
      <w:r>
        <w:instrText>ADDIN ZOTERO_ITEM CSL_CITATION {"citationID":"Ufy8gfkY","properties":{"formattedCitation":"(Torres and Zeidan, 2016)","plainCitation":"(Torres and Zeidan, 2016)","noteIndex":0},"citationItems":[{"id":2816,"uris":["http://zotero.org/users/2170232/items/2XMFPFHT"],"uri":["http://zotero.org/users/2170232/items/2XMFPFHT"],"itemData":{"id":2816,"type":"article-journal","abstract":"We posit a life-cycle hypothesis for the evolving role of National Development Banks (NDBs) using the case of one of the largest such institutions in the world, the Brazilian Development Bank (BNDES). NDBs are a particularly important institution for channeling long-term credit in less developed financial markets. However, we argue that as countries develop their financial markets, NDBs should share this role with other local banks and specialize their focus, eventually disappearing altogether. In the Brazilian case, we show how the BNDES evolved from a purveyor of long-term credit to a more complex financial institution. The BNDES was the most important tool used by the Brazilian government as a countercyclical response to the financial crisis. For many developing countries, institutions like the BNDES may be a tenable solution for building long-term local financial institutions and markets, and developing specialized human capital. However, they also pose potential risks centered on issues of scalability, crowding out, graft and inefficiency.","collection-title":"Special Issue: Is there a Brazilian Development 'Model'?","container-title":"The Quarterly Review of Economics and Finance","DOI":"10.1016/j.qref.2016.07.006","ISSN":"1062-9769","journalAbbreviation":"The Quarterly Review of Economics and Finance","language":"en","page":"97-104","source":"ScienceDirect","title":"The life-cycle of national development banks: The experience of Brazil's BNDES","title-short":"The life-cycle of national development banks","volume":"62","author":[{"family":"Torres","given":"Ernani"},{"family":"Zeidan","given":"Rodrigo"}],"issued":{"date-parts":[["2016",11,1]]}}}],"schema":"https://github.com/citation-style-language/schema/raw/master/csl-citation.json"}</w:instrText>
      </w:r>
      <w:r>
        <w:fldChar w:fldCharType="separate"/>
      </w:r>
      <w:bookmarkStart w:id="58" w:name="__Fieldmark__1191_362668386"/>
      <w:r>
        <w:rPr>
          <w:rFonts w:cs="Calibri"/>
        </w:rPr>
        <w:t xml:space="preserve">(Torres and </w:t>
      </w:r>
      <w:proofErr w:type="spellStart"/>
      <w:r>
        <w:rPr>
          <w:rFonts w:cs="Calibri"/>
        </w:rPr>
        <w:t>Zeidan</w:t>
      </w:r>
      <w:proofErr w:type="spellEnd"/>
      <w:r>
        <w:rPr>
          <w:rFonts w:cs="Calibri"/>
        </w:rPr>
        <w:t>, 2016)</w:t>
      </w:r>
      <w:r>
        <w:fldChar w:fldCharType="end"/>
      </w:r>
      <w:bookmarkEnd w:id="58"/>
      <w:r>
        <w:t xml:space="preserve">; 2) blended finance, which combines public and private finance through traditional mechanisms such as public-private partnerships, and through more novel mechanisms including development finance institutions </w:t>
      </w:r>
      <w:r>
        <w:fldChar w:fldCharType="begin"/>
      </w:r>
      <w:r>
        <w:instrText>ADDIN ZOTERO_ITEM CSL_CITATION {"citationID":"GjAxyv8d","properties":{"formattedCitation":"(Clark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59" w:name="__Fieldmark__1196_362668386"/>
      <w:r>
        <w:rPr>
          <w:rFonts w:cs="Calibri"/>
        </w:rPr>
        <w:t>(Clark et al., 2018)</w:t>
      </w:r>
      <w:r>
        <w:fldChar w:fldCharType="end"/>
      </w:r>
      <w:bookmarkEnd w:id="59"/>
      <w:r>
        <w:t>; 3) custom-built partnerships between the private sector and governments, civil society, and non-governmental organisations, for example the Tropical Landscapes Finance Facility (</w:t>
      </w:r>
      <w:hyperlink r:id="rId14">
        <w:r>
          <w:rPr>
            <w:rStyle w:val="InternetLink"/>
          </w:rPr>
          <w:t>www.tlffindonesia.org</w:t>
        </w:r>
      </w:hyperlink>
      <w:r>
        <w:t>)</w:t>
      </w:r>
      <w:r w:rsidR="00DB21B5">
        <w:t>,</w:t>
      </w:r>
      <w:r>
        <w:t xml:space="preserve"> which provide long-term financing to support sustainable land use; 4) green bonds, which raise funds for projects that contribute to a more sustainable economy and deliver benefits to the environment </w:t>
      </w:r>
      <w:r>
        <w:fldChar w:fldCharType="begin"/>
      </w:r>
      <w:r>
        <w:instrText>ADDIN ZOTERO_ITEM CSL_CITATION {"citationID":"ODJazWK9","properties":{"formattedCitation":"(Sachs et al., 2019)","plainCitation":"(Sachs et al., 2019)","noteIndex":0},"citationItems":[{"id":2802,"uris":["http://zotero.org/users/2170232/items/57UPTN2R"],"uri":["http://zotero.org/users/2170232/items/57UPTN2R"],"itemData":{"id":2802,"type":"chapter","collection-title":"Sustainable Development","container-title":"Handbook of Green Finance: Energy Security and Sustainable Development","event-place":"Tokyo","publisher":"Springer","publisher-place":"Tokyo","title":"Importance of green finance for achieving sustainable development goals and energy security","author":[{"family":"Sachs","given":"JD"},{"family":"Woo","given":"WT"},{"family":"Yoshino","given":"N"},{"family":"Taghizadeh-Hesary","given":"F"}],"issued":{"date-parts":[["2019"]]}}}],"schema":"https://github.com/citation-style-language/schema/raw/master/csl-citation.json"}</w:instrText>
      </w:r>
      <w:r>
        <w:fldChar w:fldCharType="separate"/>
      </w:r>
      <w:bookmarkStart w:id="60" w:name="__Fieldmark__1206_362668386"/>
      <w:r>
        <w:rPr>
          <w:rFonts w:cs="Calibri"/>
        </w:rPr>
        <w:t>(Sachs et al., 2019)</w:t>
      </w:r>
      <w:r>
        <w:fldChar w:fldCharType="end"/>
      </w:r>
      <w:bookmarkEnd w:id="60"/>
      <w:r>
        <w:t xml:space="preserve">, 5) conservation finance, which is a broad term that describes financial solutions that deliver conservation gains </w:t>
      </w:r>
      <w:r>
        <w:rPr>
          <w:i/>
          <w:iCs/>
        </w:rPr>
        <w:t>and</w:t>
      </w:r>
      <w:r>
        <w:t xml:space="preserve"> financial return for investors. An undeveloped field, conservation finance has huge potential as a private sector investment opportunity that delivers conservation goals, using mechanisms such as substitute funds, marine protected area bonds, and conservation impact bonds </w:t>
      </w:r>
      <w:r>
        <w:fldChar w:fldCharType="begin"/>
      </w:r>
      <w:r>
        <w:instrText>ADDIN ZOTERO_ITEM CSL_CITATION {"citationID":"imRPqhv7","properties":{"formattedCitation":"(Huwyler et al., 2016)","plainCitation":"(Huwyler et al., 2016)","noteIndex":0},"citationItems":[{"id":2811,"uris":["http://zotero.org/users/2170232/items/EQY45584"],"uri":["http://zotero.org/users/2170232/items/EQY45584"],"itemData":{"id":2811,"type":"report","event-place":"Zurich,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schema":"https://github.com/citation-style-language/schema/raw/master/csl-citation.json"}</w:instrText>
      </w:r>
      <w:r>
        <w:fldChar w:fldCharType="separate"/>
      </w:r>
      <w:bookmarkStart w:id="61" w:name="__Fieldmark__1213_362668386"/>
      <w:r>
        <w:rPr>
          <w:rFonts w:cs="Calibri"/>
        </w:rPr>
        <w:t>(</w:t>
      </w:r>
      <w:proofErr w:type="spellStart"/>
      <w:r>
        <w:rPr>
          <w:rFonts w:cs="Calibri"/>
        </w:rPr>
        <w:t>Huwyler</w:t>
      </w:r>
      <w:proofErr w:type="spellEnd"/>
      <w:r>
        <w:rPr>
          <w:rFonts w:cs="Calibri"/>
        </w:rPr>
        <w:t xml:space="preserve"> et al., 2016)</w:t>
      </w:r>
      <w:r>
        <w:fldChar w:fldCharType="end"/>
      </w:r>
      <w:bookmarkEnd w:id="61"/>
      <w:r>
        <w:t xml:space="preserve">; 6) carbon market instruments such as REDD+ and the Green Climate Fund </w:t>
      </w:r>
      <w:r>
        <w:fldChar w:fldCharType="begin"/>
      </w:r>
      <w:r>
        <w:instrText>ADDIN ZOTERO_ITEM CSL_CITATION {"citationID":"CLfSEacK","properties":{"formattedCitation":"(Sachs et al., 2019)","plainCitation":"(Sachs et al., 2019)","noteIndex":0},"citationItems":[{"id":2802,"uris":["http://zotero.org/users/2170232/items/57UPTN2R"],"uri":["http://zotero.org/users/2170232/items/57UPTN2R"],"itemData":{"id":2802,"type":"chapter","collection-title":"Sustainable Development","container-title":"Handbook of Green Finance: Energy Security and Sustainable Development","event-place":"Tokyo","publisher":"Springer","publisher-place":"Tokyo","title":"Importance of green finance for achieving sustainable development goals and energy security","author":[{"family":"Sachs","given":"JD"},{"family":"Woo","given":"WT"},{"family":"Yoshino","given":"N"},{"family":"Taghizadeh-Hesary","given":"F"}],"issued":{"date-parts":[["2019"]]}}}],"schema":"https://github.com/citation-style-language/schema/raw/master/csl-citation.json"}</w:instrText>
      </w:r>
      <w:r>
        <w:fldChar w:fldCharType="separate"/>
      </w:r>
      <w:bookmarkStart w:id="62" w:name="__Fieldmark__1218_362668386"/>
      <w:r>
        <w:rPr>
          <w:rFonts w:cs="Calibri"/>
        </w:rPr>
        <w:t>(Sachs et al., 2019)</w:t>
      </w:r>
      <w:r>
        <w:fldChar w:fldCharType="end"/>
      </w:r>
      <w:bookmarkEnd w:id="62"/>
      <w:r>
        <w:t xml:space="preserve">; 7) other ‘green finance’ mechanisms such as impact investing, fiscal policy, green central banking, and community-based green funds </w:t>
      </w:r>
      <w:r>
        <w:fldChar w:fldCharType="begin"/>
      </w:r>
      <w:r>
        <w:instrText>ADDIN ZOTERO_ITEM CSL_CITATION {"citationID":"e3RVoGji","properties":{"formattedCitation":"(Sachs et al., 2019)","plainCitation":"(Sachs et al., 2019)","noteIndex":0},"citationItems":[{"id":2802,"uris":["http://zotero.org/users/2170232/items/57UPTN2R"],"uri":["http://zotero.org/users/2170232/items/57UPTN2R"],"itemData":{"id":2802,"type":"chapter","collection-title":"Sustainable Development","container-title":"Handbook of Green Finance: Energy Security and Sustainable Development","event-place":"Tokyo","publisher":"Springer","publisher-place":"Tokyo","title":"Importance of green finance for achieving sustainable development goals and energy security","author":[{"family":"Sachs","given":"JD"},{"family":"Woo","given":"WT"},{"family":"Yoshino","given":"N"},{"family":"Taghizadeh-Hesary","given":"F"}],"issued":{"date-parts":[["2019"]]}}}],"schema":"https://github.com/citation-style-language/schema/raw/master/csl-citation.json"}</w:instrText>
      </w:r>
      <w:r>
        <w:fldChar w:fldCharType="separate"/>
      </w:r>
      <w:bookmarkStart w:id="63" w:name="__Fieldmark__1223_362668386"/>
      <w:r>
        <w:rPr>
          <w:rFonts w:cs="Calibri"/>
        </w:rPr>
        <w:t>(Sachs et al., 2019)</w:t>
      </w:r>
      <w:r>
        <w:fldChar w:fldCharType="end"/>
      </w:r>
      <w:bookmarkEnd w:id="63"/>
      <w:r>
        <w:t xml:space="preserve">. </w:t>
      </w:r>
    </w:p>
    <w:p w14:paraId="593F0442" w14:textId="77777777" w:rsidR="008D517D" w:rsidRDefault="008D517D" w:rsidP="008D517D">
      <w:r>
        <w:t xml:space="preserve">Although in relative infancy, private sector investment for conservation and the environment is underway, with global players in both conservation and finance recognising the potential. An example is the </w:t>
      </w:r>
      <w:proofErr w:type="spellStart"/>
      <w:r>
        <w:t>NatureVest</w:t>
      </w:r>
      <w:proofErr w:type="spellEnd"/>
      <w:r>
        <w:t xml:space="preserve"> collaboration between The Nature Conservancy and JP Morgan Chase which focusses on identifying and financing investable projects that deliver for investors and the environment </w:t>
      </w:r>
      <w:r>
        <w:fldChar w:fldCharType="begin"/>
      </w:r>
      <w:r>
        <w:instrText>ADDIN ZOTERO_ITEM CSL_CITATION {"citationID":"G40GPEH6","properties":{"formattedCitation":"(Kaiser, 2015)","plainCitation":"(Kaiser, 2015)","noteIndex":0},"citationItems":[{"id":2819,"uris":["http://zotero.org/users/2170232/items/KD7GVQX5"],"uri":["http://zotero.org/users/2170232/items/KD7GVQX5"],"itemData":{"id":2819,"type":"article-journal","container-title":"Social Research","ISSN":"0037-783X","issue":"3","note":"publisher: The New School","page":"749-760","source":"JSTOR","title":"NatureVest: Natural Capital Investment Solutions to Transform The Way We Protect Nature","title-short":"NatureVest","volume":"82","author":[{"family":"Kaiser","given":"Charlotte"}],"issued":{"date-parts":[["2015"]]}}}],"schema":"https://github.com/citation-style-language/schema/raw/master/csl-citation.json"}</w:instrText>
      </w:r>
      <w:r>
        <w:fldChar w:fldCharType="separate"/>
      </w:r>
      <w:bookmarkStart w:id="64" w:name="__Fieldmark__1232_362668386"/>
      <w:r>
        <w:rPr>
          <w:rFonts w:cs="Calibri"/>
        </w:rPr>
        <w:t>(Kaiser, 2015)</w:t>
      </w:r>
      <w:r>
        <w:fldChar w:fldCharType="end"/>
      </w:r>
      <w:bookmarkEnd w:id="64"/>
      <w:r>
        <w:t xml:space="preserve">. To successfully leverage private sector finance, the conservation sector (and the environmental sector more broadly) needs to dramatically increase the number and scale of projects that have low-risk rates of return and conservation impacts that are clear and measurable, thus making them attractive investments. </w:t>
      </w:r>
    </w:p>
    <w:p w14:paraId="6193490B" w14:textId="77777777" w:rsidR="008D517D" w:rsidRDefault="008D517D" w:rsidP="008D517D">
      <w:r>
        <w:t xml:space="preserve">There is currently a large gap between the global ambitions for environmental recovery and the money available to fulfil those ambitions. In this study we have demonstrated that stable, long-term funding is more effective for the management of social-ecological landscapes than short-term, unreliable grant funding. Yet funding streams that provide such long-term financial stability are rare. Increasing the quantity of funding available for conservation and moving towards more sustainable investment strategies is going to require paradigm shifts across national and global policies and economies. </w:t>
      </w:r>
    </w:p>
    <w:p w14:paraId="76A166E2" w14:textId="1C020F13" w:rsidR="00BF25B7" w:rsidRPr="007D312F" w:rsidRDefault="007D312F">
      <w:pPr>
        <w:rPr>
          <w:b/>
          <w:bCs/>
        </w:rPr>
      </w:pPr>
      <w:r w:rsidRPr="007D312F">
        <w:rPr>
          <w:b/>
          <w:bCs/>
        </w:rPr>
        <w:t>5.6. ACKNOWLEDGEMENTS</w:t>
      </w:r>
    </w:p>
    <w:sectPr w:rsidR="00BF25B7" w:rsidRPr="007D312F">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D13F8" w14:textId="77777777" w:rsidR="00E17DD3" w:rsidRDefault="00E17DD3" w:rsidP="00BF25B7">
      <w:pPr>
        <w:spacing w:after="0" w:line="240" w:lineRule="auto"/>
      </w:pPr>
      <w:r>
        <w:separator/>
      </w:r>
    </w:p>
  </w:endnote>
  <w:endnote w:type="continuationSeparator" w:id="0">
    <w:p w14:paraId="013D8671" w14:textId="77777777" w:rsidR="00E17DD3" w:rsidRDefault="00E17DD3" w:rsidP="00BF2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233FB" w14:textId="77777777" w:rsidR="00E17DD3" w:rsidRDefault="00E17DD3" w:rsidP="00BF25B7">
      <w:pPr>
        <w:spacing w:after="0" w:line="240" w:lineRule="auto"/>
      </w:pPr>
      <w:r>
        <w:separator/>
      </w:r>
    </w:p>
  </w:footnote>
  <w:footnote w:type="continuationSeparator" w:id="0">
    <w:p w14:paraId="0210B237" w14:textId="77777777" w:rsidR="00E17DD3" w:rsidRDefault="00E17DD3" w:rsidP="00BF25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DF5"/>
    <w:rsid w:val="00012A07"/>
    <w:rsid w:val="00036E3D"/>
    <w:rsid w:val="000645D9"/>
    <w:rsid w:val="0007281E"/>
    <w:rsid w:val="000D3794"/>
    <w:rsid w:val="000E292C"/>
    <w:rsid w:val="00111C63"/>
    <w:rsid w:val="00112E40"/>
    <w:rsid w:val="00162586"/>
    <w:rsid w:val="00173C07"/>
    <w:rsid w:val="00177F53"/>
    <w:rsid w:val="00180B63"/>
    <w:rsid w:val="00192C7B"/>
    <w:rsid w:val="001E1E50"/>
    <w:rsid w:val="00223B57"/>
    <w:rsid w:val="00273E85"/>
    <w:rsid w:val="00280900"/>
    <w:rsid w:val="00283739"/>
    <w:rsid w:val="0029345B"/>
    <w:rsid w:val="002A0795"/>
    <w:rsid w:val="002B0571"/>
    <w:rsid w:val="002C7AE9"/>
    <w:rsid w:val="002D43DE"/>
    <w:rsid w:val="002D4DF5"/>
    <w:rsid w:val="00321A08"/>
    <w:rsid w:val="003517F0"/>
    <w:rsid w:val="00380D43"/>
    <w:rsid w:val="003838B1"/>
    <w:rsid w:val="00386DF2"/>
    <w:rsid w:val="00387B24"/>
    <w:rsid w:val="003A0878"/>
    <w:rsid w:val="003D108F"/>
    <w:rsid w:val="003D7D4E"/>
    <w:rsid w:val="003E28EC"/>
    <w:rsid w:val="003E5FF9"/>
    <w:rsid w:val="003E7C67"/>
    <w:rsid w:val="003F20B0"/>
    <w:rsid w:val="00407D32"/>
    <w:rsid w:val="00420BFE"/>
    <w:rsid w:val="00421EF3"/>
    <w:rsid w:val="004229EB"/>
    <w:rsid w:val="00441F7A"/>
    <w:rsid w:val="00444C49"/>
    <w:rsid w:val="00462612"/>
    <w:rsid w:val="004B14DA"/>
    <w:rsid w:val="004F2133"/>
    <w:rsid w:val="00505C1D"/>
    <w:rsid w:val="00511EA0"/>
    <w:rsid w:val="0051217D"/>
    <w:rsid w:val="005264B7"/>
    <w:rsid w:val="00561F84"/>
    <w:rsid w:val="00571610"/>
    <w:rsid w:val="00574A12"/>
    <w:rsid w:val="00576391"/>
    <w:rsid w:val="005A539D"/>
    <w:rsid w:val="005C0C38"/>
    <w:rsid w:val="005D1546"/>
    <w:rsid w:val="005E13B1"/>
    <w:rsid w:val="005E18D6"/>
    <w:rsid w:val="0061051A"/>
    <w:rsid w:val="00622F30"/>
    <w:rsid w:val="00624780"/>
    <w:rsid w:val="00637A02"/>
    <w:rsid w:val="00640B53"/>
    <w:rsid w:val="006668D0"/>
    <w:rsid w:val="00681279"/>
    <w:rsid w:val="006B1B53"/>
    <w:rsid w:val="006C7A36"/>
    <w:rsid w:val="006F0A98"/>
    <w:rsid w:val="00721CB0"/>
    <w:rsid w:val="00731AF4"/>
    <w:rsid w:val="00733289"/>
    <w:rsid w:val="00775391"/>
    <w:rsid w:val="007853F1"/>
    <w:rsid w:val="00786222"/>
    <w:rsid w:val="00793FF2"/>
    <w:rsid w:val="007A0065"/>
    <w:rsid w:val="007A23C1"/>
    <w:rsid w:val="007A33A1"/>
    <w:rsid w:val="007D312F"/>
    <w:rsid w:val="00803620"/>
    <w:rsid w:val="0082158D"/>
    <w:rsid w:val="00851C66"/>
    <w:rsid w:val="00873FEF"/>
    <w:rsid w:val="0089199E"/>
    <w:rsid w:val="00892B3A"/>
    <w:rsid w:val="00897731"/>
    <w:rsid w:val="008A02A8"/>
    <w:rsid w:val="008A13E3"/>
    <w:rsid w:val="008A7BC9"/>
    <w:rsid w:val="008B2431"/>
    <w:rsid w:val="008C1FF1"/>
    <w:rsid w:val="008D517D"/>
    <w:rsid w:val="008D6134"/>
    <w:rsid w:val="009143EA"/>
    <w:rsid w:val="00924ECB"/>
    <w:rsid w:val="009478EC"/>
    <w:rsid w:val="00956B47"/>
    <w:rsid w:val="009A1EAD"/>
    <w:rsid w:val="009B6516"/>
    <w:rsid w:val="009C2BD9"/>
    <w:rsid w:val="009D3A58"/>
    <w:rsid w:val="009F2D18"/>
    <w:rsid w:val="00A262C6"/>
    <w:rsid w:val="00A30475"/>
    <w:rsid w:val="00A34FC3"/>
    <w:rsid w:val="00A457CE"/>
    <w:rsid w:val="00A74284"/>
    <w:rsid w:val="00A83A57"/>
    <w:rsid w:val="00A8561E"/>
    <w:rsid w:val="00AA1760"/>
    <w:rsid w:val="00AB2E08"/>
    <w:rsid w:val="00AC0CD1"/>
    <w:rsid w:val="00B34B5D"/>
    <w:rsid w:val="00B5006E"/>
    <w:rsid w:val="00B573B0"/>
    <w:rsid w:val="00B81406"/>
    <w:rsid w:val="00B82ABF"/>
    <w:rsid w:val="00B8415A"/>
    <w:rsid w:val="00B908F7"/>
    <w:rsid w:val="00BA608A"/>
    <w:rsid w:val="00BB0670"/>
    <w:rsid w:val="00BB6084"/>
    <w:rsid w:val="00BC1DD8"/>
    <w:rsid w:val="00BC3488"/>
    <w:rsid w:val="00BF25B7"/>
    <w:rsid w:val="00C14993"/>
    <w:rsid w:val="00C2025A"/>
    <w:rsid w:val="00C54BED"/>
    <w:rsid w:val="00C77F8E"/>
    <w:rsid w:val="00CF17E9"/>
    <w:rsid w:val="00D02253"/>
    <w:rsid w:val="00D24518"/>
    <w:rsid w:val="00D247E2"/>
    <w:rsid w:val="00D46173"/>
    <w:rsid w:val="00D50C48"/>
    <w:rsid w:val="00D6058D"/>
    <w:rsid w:val="00D84DC6"/>
    <w:rsid w:val="00DB21B5"/>
    <w:rsid w:val="00DD29EF"/>
    <w:rsid w:val="00E15699"/>
    <w:rsid w:val="00E17DD3"/>
    <w:rsid w:val="00E36D03"/>
    <w:rsid w:val="00E537F0"/>
    <w:rsid w:val="00E97137"/>
    <w:rsid w:val="00EB5F70"/>
    <w:rsid w:val="00EE07AB"/>
    <w:rsid w:val="00EF2C9F"/>
    <w:rsid w:val="00F01069"/>
    <w:rsid w:val="00F30A4A"/>
    <w:rsid w:val="00F32E9C"/>
    <w:rsid w:val="00F71372"/>
    <w:rsid w:val="00F73D32"/>
    <w:rsid w:val="00F8568A"/>
    <w:rsid w:val="00FA4C5B"/>
    <w:rsid w:val="00FB3821"/>
    <w:rsid w:val="00FD5ED5"/>
    <w:rsid w:val="00FF1DE6"/>
    <w:rsid w:val="00FF707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8003A"/>
  <w15:docId w15:val="{CF3D66AD-EFDC-43C4-B695-04D8EEC92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580838"/>
    <w:rPr>
      <w:sz w:val="16"/>
      <w:szCs w:val="16"/>
    </w:rPr>
  </w:style>
  <w:style w:type="character" w:customStyle="1" w:styleId="CommentTextChar">
    <w:name w:val="Comment Text Char"/>
    <w:basedOn w:val="DefaultParagraphFont"/>
    <w:link w:val="CommentText"/>
    <w:uiPriority w:val="99"/>
    <w:semiHidden/>
    <w:qFormat/>
    <w:rsid w:val="00580838"/>
    <w:rPr>
      <w:sz w:val="20"/>
      <w:szCs w:val="20"/>
    </w:rPr>
  </w:style>
  <w:style w:type="character" w:customStyle="1" w:styleId="CommentSubjectChar">
    <w:name w:val="Comment Subject Char"/>
    <w:basedOn w:val="CommentTextChar"/>
    <w:link w:val="CommentSubject"/>
    <w:uiPriority w:val="99"/>
    <w:semiHidden/>
    <w:qFormat/>
    <w:rsid w:val="00580838"/>
    <w:rPr>
      <w:b/>
      <w:bCs/>
      <w:sz w:val="20"/>
      <w:szCs w:val="20"/>
    </w:rPr>
  </w:style>
  <w:style w:type="character" w:customStyle="1" w:styleId="InternetLink">
    <w:name w:val="Internet Link"/>
    <w:basedOn w:val="DefaultParagraphFont"/>
    <w:uiPriority w:val="99"/>
    <w:unhideWhenUsed/>
    <w:rsid w:val="004B1FCB"/>
    <w:rPr>
      <w:color w:val="0563C1" w:themeColor="hyperlink"/>
      <w:u w:val="single"/>
    </w:rPr>
  </w:style>
  <w:style w:type="character" w:customStyle="1" w:styleId="ListLabel1">
    <w:name w:val="ListLabel 1"/>
    <w:qFormat/>
  </w:style>
  <w:style w:type="character" w:customStyle="1" w:styleId="ListLabel2">
    <w:name w:val="ListLabel 2"/>
    <w:qFormat/>
    <w:rPr>
      <w:color w:val="auto"/>
      <w:u w: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CommentText">
    <w:name w:val="annotation text"/>
    <w:basedOn w:val="Normal"/>
    <w:link w:val="CommentTextChar"/>
    <w:uiPriority w:val="99"/>
    <w:semiHidden/>
    <w:unhideWhenUsed/>
    <w:qFormat/>
    <w:rsid w:val="0058083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580838"/>
    <w:rPr>
      <w:b/>
      <w:bCs/>
    </w:rPr>
  </w:style>
  <w:style w:type="table" w:styleId="TableGrid">
    <w:name w:val="Table Grid"/>
    <w:basedOn w:val="TableNormal"/>
    <w:uiPriority w:val="39"/>
    <w:rsid w:val="00C66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668D0"/>
    <w:rPr>
      <w:color w:val="808080"/>
    </w:rPr>
  </w:style>
  <w:style w:type="paragraph" w:styleId="Bibliography">
    <w:name w:val="Bibliography"/>
    <w:basedOn w:val="Normal"/>
    <w:next w:val="Normal"/>
    <w:uiPriority w:val="37"/>
    <w:unhideWhenUsed/>
    <w:rsid w:val="00BF25B7"/>
    <w:pPr>
      <w:spacing w:after="0" w:line="240" w:lineRule="auto"/>
      <w:ind w:left="720" w:hanging="720"/>
    </w:pPr>
  </w:style>
  <w:style w:type="paragraph" w:styleId="Header">
    <w:name w:val="header"/>
    <w:basedOn w:val="Normal"/>
    <w:link w:val="HeaderChar"/>
    <w:uiPriority w:val="99"/>
    <w:unhideWhenUsed/>
    <w:rsid w:val="00BF25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25B7"/>
  </w:style>
  <w:style w:type="paragraph" w:styleId="Footer">
    <w:name w:val="footer"/>
    <w:basedOn w:val="Normal"/>
    <w:link w:val="FooterChar"/>
    <w:uiPriority w:val="99"/>
    <w:unhideWhenUsed/>
    <w:rsid w:val="00BF25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25B7"/>
  </w:style>
  <w:style w:type="character" w:styleId="Hyperlink">
    <w:name w:val="Hyperlink"/>
    <w:basedOn w:val="DefaultParagraphFont"/>
    <w:uiPriority w:val="99"/>
    <w:unhideWhenUsed/>
    <w:rsid w:val="002A0795"/>
    <w:rPr>
      <w:color w:val="0563C1" w:themeColor="hyperlink"/>
      <w:u w:val="single"/>
    </w:rPr>
  </w:style>
  <w:style w:type="character" w:styleId="UnresolvedMention">
    <w:name w:val="Unresolved Mention"/>
    <w:basedOn w:val="DefaultParagraphFont"/>
    <w:uiPriority w:val="99"/>
    <w:semiHidden/>
    <w:unhideWhenUsed/>
    <w:rsid w:val="002A0795"/>
    <w:rPr>
      <w:color w:val="605E5C"/>
      <w:shd w:val="clear" w:color="auto" w:fill="E1DFDD"/>
    </w:rPr>
  </w:style>
  <w:style w:type="paragraph" w:styleId="Revision">
    <w:name w:val="Revision"/>
    <w:hidden/>
    <w:uiPriority w:val="99"/>
    <w:semiHidden/>
    <w:rsid w:val="00162586"/>
  </w:style>
  <w:style w:type="character" w:styleId="FollowedHyperlink">
    <w:name w:val="FollowedHyperlink"/>
    <w:basedOn w:val="DefaultParagraphFont"/>
    <w:uiPriority w:val="99"/>
    <w:semiHidden/>
    <w:unhideWhenUsed/>
    <w:rsid w:val="00E971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thegef.org/"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www.biocarbonfund-isfl.org/"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www.tlffindones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4920</TotalTime>
  <Pages>22</Pages>
  <Words>47320</Words>
  <Characters>269725</Characters>
  <Application>Microsoft Office Word</Application>
  <DocSecurity>0</DocSecurity>
  <Lines>2247</Lines>
  <Paragraphs>632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dc:description/>
  <cp:lastModifiedBy>Matthew Nuttall</cp:lastModifiedBy>
  <cp:revision>13</cp:revision>
  <dcterms:created xsi:type="dcterms:W3CDTF">2022-02-08T20:55:00Z</dcterms:created>
  <dcterms:modified xsi:type="dcterms:W3CDTF">2022-02-12T07:54:00Z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zotero-version="5.0.96.3"&gt;&lt;session id="ZlkifaBy"/&gt;&lt;style id="http://www.zotero.org/styles/elsevier-harvard" hasBibliography="1" bibliographyStyleHasBeenSet="1"/&gt;&lt;prefs&gt;&lt;pref name="fieldType" value="Field"/&gt;&lt;pref name="automaticJourn</vt:lpwstr>
  </property>
  <property fmtid="{D5CDD505-2E9C-101B-9397-08002B2CF9AE}" pid="9" name="ZOTERO_PREF_2">
    <vt:lpwstr>alAbbreviations" value="true"/&gt;&lt;/prefs&gt;&lt;/data&gt;</vt:lpwstr>
  </property>
</Properties>
</file>