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6B47" w14:textId="1896DD85" w:rsidR="00A91D9B" w:rsidRDefault="00A91D9B">
      <w:pPr>
        <w:rPr>
          <w:b/>
          <w:bCs/>
        </w:rPr>
      </w:pPr>
      <w:r>
        <w:rPr>
          <w:b/>
          <w:bCs/>
        </w:rPr>
        <w:t xml:space="preserve">Intro </w:t>
      </w:r>
    </w:p>
    <w:p w14:paraId="6EBCFC9F" w14:textId="04595EC4" w:rsidR="00A91D9B" w:rsidRPr="00A91D9B" w:rsidRDefault="00A91D9B">
      <w:r w:rsidRPr="00A91D9B">
        <w:t xml:space="preserve">In 2016, investment into conservation was estimated to be $52 billion per year, and recent estimates have suggested that $700 billion per year will be required to ensure healthy ecosystems across land- and seascapes </w:t>
      </w:r>
      <w:r w:rsidRPr="00A91D9B">
        <w:fldChar w:fldCharType="begin"/>
      </w:r>
      <w:r w:rsidRPr="00A91D9B">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rsidRPr="00A91D9B">
        <w:fldChar w:fldCharType="separate"/>
      </w:r>
      <w:bookmarkStart w:id="0" w:name="__Fieldmark__19_362668386"/>
      <w:r w:rsidRPr="00A91D9B">
        <w:t>(Deutz et al., 2020)</w:t>
      </w:r>
      <w:r w:rsidRPr="00A91D9B">
        <w:fldChar w:fldCharType="end"/>
      </w:r>
      <w:bookmarkEnd w:id="0"/>
      <w:r w:rsidRPr="00A91D9B">
        <w:t>. Although global estimates such as these are unlikely to be accurate, for example because of large extrapolations and generalisations over large spatial scales, the order of magnitude conveys the scale of the funding challenge.</w:t>
      </w:r>
    </w:p>
    <w:p w14:paraId="238B253B" w14:textId="7C7E13F3" w:rsidR="00A91D9B" w:rsidRPr="00A91D9B" w:rsidRDefault="00915838">
      <w:r w:rsidRPr="00915838">
        <w:t xml:space="preserve">The simplification of models to develop and test theory has been seen as an important approach for decades </w:t>
      </w:r>
      <w:r w:rsidRPr="00915838">
        <w:fldChar w:fldCharType="begin"/>
      </w:r>
      <w:r w:rsidRPr="00915838">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rsidRPr="00915838">
        <w:fldChar w:fldCharType="separate"/>
      </w:r>
      <w:bookmarkStart w:id="1" w:name="__Fieldmark__434_362668386"/>
      <w:r w:rsidRPr="00915838">
        <w:t>(</w:t>
      </w:r>
      <w:proofErr w:type="spellStart"/>
      <w:r w:rsidRPr="00915838">
        <w:t>Levins</w:t>
      </w:r>
      <w:proofErr w:type="spellEnd"/>
      <w:r w:rsidRPr="00915838">
        <w:t>, 1966)</w:t>
      </w:r>
      <w:r w:rsidRPr="00915838">
        <w:fldChar w:fldCharType="end"/>
      </w:r>
      <w:bookmarkEnd w:id="1"/>
      <w:r w:rsidRPr="00915838">
        <w:t xml:space="preserve">, with the understanding that building models that are all at once manageable, general, realistic, and precise is impossible.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rsidRPr="00915838">
        <w:fldChar w:fldCharType="begin"/>
      </w:r>
      <w:r w:rsidRPr="00915838">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rsidRPr="00915838">
        <w:fldChar w:fldCharType="separate"/>
      </w:r>
      <w:bookmarkStart w:id="2" w:name="__Fieldmark__458_362668386"/>
      <w:r w:rsidRPr="00915838">
        <w:t>(Green et al., 2005)</w:t>
      </w:r>
      <w:r w:rsidRPr="00915838">
        <w:fldChar w:fldCharType="end"/>
      </w:r>
      <w:bookmarkEnd w:id="2"/>
      <w:r w:rsidRPr="00915838">
        <w:t>.</w:t>
      </w:r>
    </w:p>
    <w:p w14:paraId="65B6E8E8" w14:textId="77777777" w:rsidR="001A2CC3" w:rsidRPr="001A2CC3" w:rsidRDefault="001A2CC3" w:rsidP="001A2CC3">
      <w:r w:rsidRPr="001A2CC3">
        <w:t xml:space="preserve">Effectively managed protected areas are the cornerstones of landscape-level conservation, yet up to 75% are severely underfunded </w:t>
      </w:r>
      <w:r w:rsidRPr="001A2CC3">
        <w:fldChar w:fldCharType="begin"/>
      </w:r>
      <w:r w:rsidRPr="001A2CC3">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rsidRPr="001A2CC3">
        <w:fldChar w:fldCharType="separate"/>
      </w:r>
      <w:bookmarkStart w:id="3" w:name="__Fieldmark__244_362668386"/>
      <w:r w:rsidRPr="001A2CC3">
        <w:t>(Coad et al., 2019)</w:t>
      </w:r>
      <w:r w:rsidRPr="001A2CC3">
        <w:fldChar w:fldCharType="end"/>
      </w:r>
      <w:bookmarkEnd w:id="3"/>
      <w:r w:rsidRPr="001A2CC3">
        <w:t xml:space="preserve">. Insufficient funding of protected land- and seascapes leads to poor management, ecological damage, and the loss of species and habitats </w:t>
      </w:r>
      <w:r w:rsidRPr="001A2CC3">
        <w:fldChar w:fldCharType="begin"/>
      </w:r>
      <w:r w:rsidRPr="001A2CC3">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rsidRPr="001A2CC3">
        <w:fldChar w:fldCharType="separate"/>
      </w:r>
      <w:bookmarkStart w:id="4" w:name="__Fieldmark__252_362668386"/>
      <w:r w:rsidRPr="001A2CC3">
        <w:t>(Kearney et al., 2020; Pringle, 2017)</w:t>
      </w:r>
      <w:r w:rsidRPr="001A2CC3">
        <w:fldChar w:fldCharType="end"/>
      </w:r>
      <w:bookmarkEnd w:id="4"/>
      <w:r w:rsidRPr="001A2CC3">
        <w:t xml:space="preserve">. It is difficult to design and implement effective conservation action that targets the correct drivers at the correct spatial and temporal scales when available funding is based on short-term projects and is consistently below what is required </w:t>
      </w:r>
      <w:r w:rsidRPr="001A2CC3">
        <w:fldChar w:fldCharType="begin"/>
      </w:r>
      <w:r w:rsidRPr="001A2CC3">
        <w:instrText xml:space="preserve"> ADDIN ZOTERO_ITEM CSL_CITATION {"citationID":"tchnGZol","properties":{"formattedCitation":"(Tulloch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Pr="001A2CC3">
        <w:fldChar w:fldCharType="separate"/>
      </w:r>
      <w:bookmarkStart w:id="5" w:name="__Fieldmark__264_362668386"/>
      <w:r w:rsidRPr="001A2CC3">
        <w:t>(Tulloch et al., 2020)</w:t>
      </w:r>
      <w:r w:rsidRPr="001A2CC3">
        <w:fldChar w:fldCharType="end"/>
      </w:r>
      <w:bookmarkEnd w:id="5"/>
      <w:r w:rsidRPr="001A2CC3">
        <w:t xml:space="preserve">. In the absence of dramatic increases in the duration or continuity of funding, or the scale of resources available to landscape managers, studies that explore the trade-offs between different strategies for investing existing resources over longer time scales will be critical. </w:t>
      </w:r>
    </w:p>
    <w:p w14:paraId="62046BD5" w14:textId="77777777" w:rsidR="00A91D9B" w:rsidRDefault="00A91D9B"/>
    <w:p w14:paraId="2F74EE57" w14:textId="77777777" w:rsidR="00A91D9B" w:rsidRDefault="00A91D9B"/>
    <w:p w14:paraId="1F1457DD" w14:textId="5EA9B440" w:rsidR="00612128" w:rsidRDefault="005D52CF">
      <w:r w:rsidRPr="005D52CF">
        <w:t xml:space="preserve">In landscapes where harvesting of wildlife occurs, weak management and regulation, which are common symptoms of chronic underfunding, can increase the probability of population collapse of the harvested species </w:t>
      </w:r>
      <w:r w:rsidRPr="005D52CF">
        <w:fldChar w:fldCharType="begin"/>
      </w:r>
      <w:r w:rsidRPr="005D52CF">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rsidRPr="005D52CF">
        <w:fldChar w:fldCharType="separate"/>
      </w:r>
      <w:bookmarkStart w:id="6" w:name="__Fieldmark__276_362668386"/>
      <w:r w:rsidRPr="005D52CF">
        <w:t>(Fryxell et al., 2010)</w:t>
      </w:r>
      <w:r w:rsidRPr="005D52CF">
        <w:fldChar w:fldCharType="end"/>
      </w:r>
      <w:bookmarkEnd w:id="6"/>
      <w:r w:rsidRPr="005D52CF">
        <w:t>.</w:t>
      </w:r>
    </w:p>
    <w:sectPr w:rsidR="0061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CF"/>
    <w:rsid w:val="001A2CC3"/>
    <w:rsid w:val="005760C1"/>
    <w:rsid w:val="005D52CF"/>
    <w:rsid w:val="008B6ED5"/>
    <w:rsid w:val="00915838"/>
    <w:rsid w:val="00A91D9B"/>
    <w:rsid w:val="00CB6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15E3"/>
  <w15:chartTrackingRefBased/>
  <w15:docId w15:val="{ED7E06E6-227F-496A-810F-8051E28C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2022-02-08T21:29:00Z</dcterms:created>
  <dcterms:modified xsi:type="dcterms:W3CDTF">2022-02-12T08:07:00Z</dcterms:modified>
</cp:coreProperties>
</file>