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>
        <w:rPr>
          <w:rFonts w:ascii="Arial" w:eastAsia="Times New Roman" w:hAnsi="Arial" w:cs="Arial"/>
          <w:sz w:val="15"/>
          <w:szCs w:val="15"/>
        </w:rPr>
        <w:t>Patient: Martin Mundia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Age: 68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Medical record number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: 145693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Room: 3B-154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Da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te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Medication</w:t>
      </w:r>
    </w:p>
    <w:p w:rsidR="00DD74B9" w:rsidRPr="00DD74B9" w:rsidRDefault="00DD74B9" w:rsidP="00DD74B9">
      <w:pPr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DD74B9">
        <w:rPr>
          <w:rFonts w:ascii="Arial" w:eastAsia="Times New Roman" w:hAnsi="Arial" w:cs="Arial"/>
          <w:sz w:val="15"/>
          <w:szCs w:val="15"/>
        </w:rPr>
        <w:t>Prescriber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8/10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8:23 am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8/10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9:15 am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Vancomycin 1,500 mg IV q12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hours x 3 days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D/c clindamycin 600 mg IV q6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hours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KCl 20 mEq in 1 L 0.9%NS IV at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100 ml/hr x 1 liter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Acetaminophen 650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mg PO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q6 hours prn temp &gt;101°F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B. Pajamo,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MD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B. Pajamo,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MD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B. Pajamo,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MD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B. Pajamo,</w:t>
      </w:r>
    </w:p>
    <w:p w:rsidR="00DD74B9" w:rsidRPr="00DD74B9" w:rsidRDefault="00DD74B9" w:rsidP="00DD7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D74B9">
        <w:rPr>
          <w:rFonts w:ascii="Times New Roman" w:eastAsia="Times New Roman" w:hAnsi="Times New Roman" w:cs="Times New Roman"/>
          <w:sz w:val="16"/>
          <w:szCs w:val="16"/>
        </w:rPr>
        <w:t>MD</w:t>
      </w:r>
    </w:p>
    <w:p w:rsidR="00E17CD8" w:rsidRDefault="00E17CD8"/>
    <w:sectPr w:rsidR="00E17CD8" w:rsidSect="00E1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DD74B9"/>
    <w:rsid w:val="00DD74B9"/>
    <w:rsid w:val="00E1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Ict Consultancy</dc:creator>
  <cp:lastModifiedBy>Tradestar</cp:lastModifiedBy>
  <cp:revision>1</cp:revision>
  <dcterms:created xsi:type="dcterms:W3CDTF">2017-01-31T13:16:00Z</dcterms:created>
  <dcterms:modified xsi:type="dcterms:W3CDTF">2017-01-31T13:19:00Z</dcterms:modified>
</cp:coreProperties>
</file>