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5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(accepted).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Chase, J. M., Johnson, D. J., Zhang, W., Deng, X., Cao, M. &amp; Yang, J.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5"/>
    <w:bookmarkStart w:id="56" w:name="book"/>
    <w:p>
      <w:pPr>
        <w:pStyle w:val="Heading2"/>
      </w:pPr>
      <w:r>
        <w:t xml:space="preserve">Book</w:t>
      </w:r>
    </w:p>
    <w:p>
      <w:pPr>
        <w:pStyle w:val="Compact"/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6"/>
    <w:bookmarkStart w:id="60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9">
        <w:r>
          <w:rPr>
            <w:rStyle w:val="InternetLink"/>
          </w:rPr>
          <w:t xml:space="preserve">R CRAN package</w:t>
        </w:r>
      </w:hyperlink>
    </w:p>
    <w:bookmarkEnd w:id="60"/>
    <w:bookmarkStart w:id="61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1"/>
    <w:bookmarkStart w:id="63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2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3"/>
    <w:bookmarkStart w:id="64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4"/>
    <w:bookmarkStart w:id="65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5"/>
    <w:bookmarkStart w:id="66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66"/>
    <w:bookmarkStart w:id="67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67"/>
    <w:bookmarkStart w:id="68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8"/>
    <w:bookmarkStart w:id="69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69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2025-05-14T07:42:01Z</dcterms:created>
  <dcterms:modified xsi:type="dcterms:W3CDTF">2025-05-14T07:42:01Z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department">
    <vt:lpwstr>Xishuangbanna Tropical Botanical Garden, Chinese Academy of Sciences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