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</w:t>
      </w:r>
      <w:r>
        <w:t xml:space="preserve"> </w:t>
      </w:r>
      <w:r>
        <w:t xml:space="preserve">Professor</w:t>
      </w:r>
    </w:p>
    <w:p>
      <w:pPr>
        <w:pStyle w:val="Author"/>
      </w:pPr>
      <w:r>
        <w:t xml:space="preserve">Masatoshi</w:t>
      </w:r>
      <w:r>
        <w:t xml:space="preserve"> </w:t>
      </w:r>
      <w:r>
        <w:t xml:space="preserve">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</w:t>
      </w:r>
      <w:r>
        <w:t xml:space="preserve">Community assembly and dynamics in tropical rainforests on the basis of functional traits</w:t>
      </w:r>
      <w:r>
        <w:t xml:space="preserve">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</w:t>
      </w:r>
      <w:r>
        <w:t xml:space="preserve">Reproductive ecology of a common dioecious fig and its pollinating wasp in a tropical secondary forest in Sarawak, Malaysia</w:t>
      </w:r>
      <w:r>
        <w:t xml:space="preserve">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Cs/>
          <w:b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Cs/>
          <w:b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Cs/>
          <w:b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Cs/>
          <w:b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Cs/>
          <w:b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4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iCs/>
          <w:i/>
          <w:bCs/>
          <w:b/>
        </w:rPr>
        <w:t xml:space="preserve">EcoEvoRxiv</w:t>
      </w:r>
      <w:r>
        <w:t xml:space="preserve"> </w:t>
      </w:r>
      <w:r>
        <w:t xml:space="preserve">(2023)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Cheng, X. &amp; Cao, M. Interspecific and intraspecific adaptations of pteridophyte leaf traits in limestone and non-limestone forests of monsoon tropical regions of southwest China.</w:t>
      </w:r>
      <w:r>
        <w:t xml:space="preserve"> </w:t>
      </w:r>
      <w:r>
        <w:rPr>
          <w:iCs/>
          <w:i/>
          <w:bCs/>
          <w:b/>
        </w:rPr>
        <w:t xml:space="preserve">Journal of Plant Ecology</w:t>
      </w:r>
      <w:r>
        <w:t xml:space="preserve"> </w:t>
      </w:r>
      <w:r>
        <w:t xml:space="preserve">rtad026 (2023)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iCs/>
          <w:i/>
          <w:bCs/>
          <w:b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iCs/>
          <w:i/>
          <w:bCs/>
          <w:b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iCs/>
          <w:i/>
          <w:bCs/>
          <w:b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iCs/>
          <w:i/>
          <w:bCs/>
          <w:b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iCs/>
          <w:i/>
          <w:bCs/>
          <w:b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iCs/>
          <w:i/>
          <w:bCs/>
          <w:b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Kitajima, K., Wright, S. J., Van Bael, S. A., Osnas, J. L. D. &amp; Lichstein, J. W. Decomposing leaf mass into photosynthetic and structural components explains divergent patterns of trait variation within and among plant species.</w:t>
      </w:r>
      <w:r>
        <w:t xml:space="preserve"> </w:t>
      </w:r>
      <w:r>
        <w:rPr>
          <w:iCs/>
          <w:i/>
          <w:bCs/>
          <w:b/>
        </w:rPr>
        <w:t xml:space="preserve">bioRxiv</w:t>
      </w:r>
      <w:r>
        <w:t xml:space="preserve"> </w:t>
      </w:r>
      <w:r>
        <w:t xml:space="preserve">(2017)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iCs/>
          <w:i/>
          <w:bCs/>
          <w:b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iCs/>
          <w:i/>
          <w:bCs/>
          <w:b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Cs/>
          <w:i/>
        </w:rPr>
        <w:t xml:space="preserve">Alpinia</w:t>
      </w:r>
      <w:r>
        <w:t xml:space="preserve"> </w:t>
      </w:r>
      <w:r>
        <w:rPr>
          <w:iCs/>
          <w:i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iCs/>
          <w:i/>
          <w:bCs/>
          <w:b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iCs/>
          <w:i/>
          <w:bCs/>
          <w:b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iCs/>
          <w:i/>
          <w:bCs/>
          <w:b/>
        </w:rPr>
        <w:t xml:space="preserve">Ecol Res</w:t>
      </w:r>
      <w:r>
        <w:t xml:space="preserve"> </w:t>
      </w:r>
      <w:r>
        <w:t xml:space="preserve">29, 607–617 (2014)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iCs/>
          <w:i/>
          <w:bCs/>
          <w:b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iCs/>
          <w:i/>
          <w:bCs/>
          <w:b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iCs/>
          <w:i/>
          <w:bCs/>
          <w:b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iCs/>
          <w:i/>
          <w:bCs/>
          <w:b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iCs/>
          <w:i/>
          <w:bCs/>
          <w:b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iCs/>
          <w:i/>
          <w:bCs/>
          <w:b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, in Malaysia.</w:t>
      </w:r>
      <w:r>
        <w:t xml:space="preserve"> </w:t>
      </w:r>
      <w:r>
        <w:rPr>
          <w:iCs/>
          <w:i/>
          <w:bCs/>
          <w:b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Cs/>
          <w:i/>
        </w:rPr>
        <w:t xml:space="preserve">Ceratosolen</w:t>
      </w:r>
      <w:r>
        <w:t xml:space="preserve"> </w:t>
      </w:r>
      <w:r>
        <w:rPr>
          <w:iCs/>
          <w:i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.</w:t>
      </w:r>
      <w:r>
        <w:t xml:space="preserve"> </w:t>
      </w:r>
      <w:r>
        <w:rPr>
          <w:iCs/>
          <w:i/>
          <w:bCs/>
          <w:b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4"/>
    <w:bookmarkStart w:id="55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  <w:pStyle w:val="Compact"/>
      </w:pPr>
      <w:r>
        <w:t xml:space="preserve">Hikosaka K., Sasaki T., Kamiyama C.,</w:t>
      </w:r>
      <w:r>
        <w:t xml:space="preserve"> </w:t>
      </w:r>
      <w:r>
        <w:rPr>
          <w:bCs/>
          <w:b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5"/>
    <w:bookmarkStart w:id="59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Cs/>
          <w:b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6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8">
        <w:r>
          <w:rPr>
            <w:rStyle w:val="InternetLink"/>
          </w:rPr>
          <w:t xml:space="preserve">R CRAN package</w:t>
        </w:r>
      </w:hyperlink>
    </w:p>
    <w:bookmarkEnd w:id="59"/>
    <w:bookmarkStart w:id="60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How do we measure and study biological diversity?, 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0"/>
    <w:bookmarkStart w:id="62" w:name="service"/>
    <w:p>
      <w:pPr>
        <w:pStyle w:val="Heading2"/>
      </w:pPr>
      <w:r>
        <w:t xml:space="preserve">Service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1"/>
    </w:p>
    <w:p>
      <w:pPr>
        <w:pStyle w:val="Definition"/>
      </w:pPr>
      <w:r>
        <w:t xml:space="preserve">Statistical editor for Lepcey, The Journal of Tropical Asian Entomology</w:t>
      </w:r>
    </w:p>
    <w:p>
      <w:pPr>
        <w:pStyle w:val="FirstParagraph"/>
      </w:pPr>
      <w:r>
        <w:t xml:space="preserve">Reviewer for journals (~ 12 per year):</w:t>
      </w:r>
    </w:p>
    <w:bookmarkEnd w:id="62"/>
    <w:bookmarkStart w:id="63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3"/>
    <w:bookmarkStart w:id="64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4"/>
    <w:bookmarkStart w:id="65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Cs/>
          <w:b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</w:t>
      </w:r>
      <w:r>
        <w:t xml:space="preserve"> </w:t>
      </w:r>
      <w:r>
        <w:t xml:space="preserve">“</w:t>
      </w:r>
      <w:r>
        <w:t xml:space="preserve">Future perspective for functional trait research</w:t>
      </w:r>
      <w:r>
        <w:t xml:space="preserve">”</w:t>
      </w:r>
      <w:r>
        <w:t xml:space="preserve">, Organized session on</w:t>
      </w:r>
      <w:r>
        <w:t xml:space="preserve"> </w:t>
      </w:r>
      <w:r>
        <w:t xml:space="preserve">“</w:t>
      </w:r>
      <w:r>
        <w:t xml:space="preserve">Achievements and outstanding questions for trait-based forest ecology</w:t>
      </w:r>
      <w:r>
        <w:t xml:space="preserve">”</w:t>
      </w:r>
      <w:r>
        <w:t xml:space="preserve"> 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</w:t>
      </w:r>
      <w:r>
        <w:t xml:space="preserve">Seedling dynamics and its consequence to community assembly processes in a tropical forest</w:t>
      </w:r>
      <w:r>
        <w:t xml:space="preserve">”</w:t>
      </w:r>
      <w:r>
        <w:t xml:space="preserve">, Symposium on</w:t>
      </w:r>
      <w:r>
        <w:t xml:space="preserve"> </w:t>
      </w:r>
      <w:r>
        <w:t xml:space="preserve">“</w:t>
      </w:r>
      <w:r>
        <w:t xml:space="preserve">Integrating the structure and dynamics of tree communities to uncover the mechanisms underlying species coexistence</w:t>
      </w:r>
      <w:r>
        <w:t xml:space="preserve">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</w:t>
      </w:r>
      <w:r>
        <w:t xml:space="preserve">Community assembly and demography of tropical tree species</w:t>
      </w:r>
      <w:r>
        <w:t xml:space="preserve">”</w:t>
      </w:r>
      <w:r>
        <w:t xml:space="preserve">, Workshop on</w:t>
      </w:r>
      <w:r>
        <w:t xml:space="preserve"> </w:t>
      </w:r>
      <w:r>
        <w:t xml:space="preserve">“</w:t>
      </w:r>
      <w:r>
        <w:t xml:space="preserve">Life history regulation of forest trees: towards cross-biome analysis</w:t>
      </w:r>
      <w:r>
        <w:t xml:space="preserve">”</w:t>
      </w:r>
      <w:r>
        <w:t xml:space="preserve">, Sapporo, Japan</w:t>
      </w:r>
    </w:p>
    <w:p>
      <w:pPr>
        <w:pStyle w:val="FirstParagraph"/>
      </w:pPr>
      <w:r>
        <w:rPr>
          <w:bCs/>
          <w:b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</w:t>
      </w:r>
      <w:r>
        <w:t xml:space="preserve">Combining metacommunity and trait-based approaches predicts species abundances distributions in biological communities</w:t>
      </w:r>
      <w:r>
        <w:t xml:space="preserve">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</w:t>
      </w:r>
      <w:r>
        <w:t xml:space="preserve">Decomposing leaf mass into photosynthetic and structural components explains diverge patterns of trait variation within vs. among plant communities</w:t>
      </w:r>
      <w:r>
        <w:t xml:space="preserve">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</w:t>
      </w:r>
      <w:r>
        <w:t xml:space="preserve">Intraspecific trait variations affect spatial patterns of functional diversity among moorland plant communities</w:t>
      </w:r>
      <w:r>
        <w:t xml:space="preserve">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</w:t>
      </w:r>
      <w:r>
        <w:t xml:space="preserve">Negative density dependence reduces survival rates of common tree species in a species-rich tropical rain forest</w:t>
      </w:r>
      <w:r>
        <w:t xml:space="preserve">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</w:t>
      </w:r>
      <w:r>
        <w:t xml:space="preserve">Soil resource availability shapes community trait structure in a species-rich dipterocarp forest</w:t>
      </w:r>
      <w:r>
        <w:t xml:space="preserve">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</w:t>
      </w:r>
      <w:r>
        <w:t xml:space="preserve">Nonrandom abundance distributions of a tropical tree community: evidence from traits correlation at a local scale</w:t>
      </w:r>
      <w:r>
        <w:t xml:space="preserve">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</w:t>
      </w:r>
      <w:r>
        <w:t xml:space="preserve">Soil variation and functional trait assembly in a diverse dipterocarp forest</w:t>
      </w:r>
      <w:r>
        <w:t xml:space="preserve">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</w:t>
      </w:r>
      <w:r>
        <w:t xml:space="preserve">Inbreeding and mating structure in a dioecious-fig pollinating wasp</w:t>
      </w:r>
      <w:r>
        <w:t xml:space="preserve">”</w:t>
      </w:r>
      <w:r>
        <w:t xml:space="preserve">. ATBC, Marburg, Germany</w:t>
      </w:r>
    </w:p>
    <w:bookmarkEnd w:id="65"/>
    <w:bookmarkStart w:id="66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</w:t>
      </w:r>
      <w:r>
        <w:t xml:space="preserve">Leaves and tropical rainforests</w:t>
      </w:r>
      <w:r>
        <w:t xml:space="preserve">”</w:t>
      </w:r>
      <w:r>
        <w:t xml:space="preserve">. Invited by the Japanese Association of Interdisciplinary Study Group in University Florida</w:t>
      </w:r>
    </w:p>
    <w:bookmarkEnd w:id="66"/>
    <w:bookmarkStart w:id="67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7"/>
    <w:bookmarkStart w:id="68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Zhou Cong, 2021 - Present, M.Sc. Student, Recipient of UCAS Scholarship.</w:t>
      </w:r>
    </w:p>
    <w:bookmarkEnd w:id="68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40"/>
  <w:embedSystemFonts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bidi="" w:eastAsia="ja-JP" w:val="en-US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2942/X2B60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2942/X2B60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2023-07-22T05:30:54Z</dcterms:created>
  <dcterms:modified xsi:type="dcterms:W3CDTF">2023-07-22T05:30:54Z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biblio-config">
    <vt:lpwstr>True</vt:lpwstr>
  </property>
  <property fmtid="{D5CDD505-2E9C-101B-9397-08002B2CF9AE}" pid="4" name="department">
    <vt:lpwstr>Xishuangbanna Tropical Botanical Garden, Chinese Academy of Sciences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mail">
    <vt:lpwstr>katabuchi@xtbg.ac.cn</vt:lpwstr>
  </property>
  <property fmtid="{D5CDD505-2E9C-101B-9397-08002B2CF9AE}" pid="10" name="orcid">
    <vt:lpwstr>0000-0001-9900-9029</vt:lpwstr>
  </property>
  <property fmtid="{D5CDD505-2E9C-101B-9397-08002B2CF9AE}" pid="11" name="toc-title">
    <vt:lpwstr>Table of contents</vt:lpwstr>
  </property>
  <property fmtid="{D5CDD505-2E9C-101B-9397-08002B2CF9AE}" pid="12" name="web">
    <vt:lpwstr>mattocci27.github.io</vt:lpwstr>
  </property>
</Properties>
</file>