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HCA Healthcare</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Data Science</w:t>
      </w:r>
    </w:p>
    <w:p>
      <w:pPr>
        <w:spacing w:before="200" w:after="200"/>
      </w:pPr>
      <w:r>
        <w:rPr>
          <w:rFonts w:ascii="Calibri" w:cs="Calibri" w:eastAsia="Calibri" w:hAnsi="Calibri"/>
          <w:color w:val="555555"/>
          <w:sz w:val="22"/>
          <w:szCs w:val="22"/>
        </w:rPr>
        <w:t xml:space="preserve">I'm writing to express my strong interest in the Director, Data Science role with HCA Healthcare's Digital Transformation and Innovation team. With a PhD in Mathematics and 9+ years leading data science teams to deliver production ML systems in regulated environments, I'm excited about the opportunity to drive clinically led integration of AI technologies that improve healthcare quality and patient outcomes.</w:t>
      </w:r>
    </w:p>
    <w:p>
      <w:pPr>
        <w:spacing w:before="200" w:after="200"/>
      </w:pPr>
      <w:r>
        <w:rPr>
          <w:rFonts w:ascii="Calibri" w:cs="Calibri" w:eastAsia="Calibri" w:hAnsi="Calibri"/>
          <w:color w:val="555555"/>
          <w:sz w:val="22"/>
          <w:szCs w:val="22"/>
        </w:rPr>
        <w:t xml:space="preserve">My experience aligns directly with HCA's need for technical and organizational leadership. At Redica Systems, I lead data science initiatives for pharmaceutical clients building production AI systems including an LLM classifier processing regulatory data with responsible AI frameworks ensuring interpretability and explainability. At Gilead Sciences, I managed a team of 5+ data scientists, developers, and vendors delivering analytics products while working with healthcare reference data (HCP/HCO profiles) requiring strict privacy compliance and data governance. I've established OKR frameworks tracking measurable value creation, communicated technical concepts to executive stakeholders, and demonstrated the ability to tell stories using data that drive action and change.</w:t>
      </w:r>
    </w:p>
    <w:p>
      <w:pPr>
        <w:spacing w:before="200" w:after="200"/>
      </w:pPr>
      <w:r>
        <w:rPr>
          <w:rFonts w:ascii="Calibri" w:cs="Calibri" w:eastAsia="Calibri" w:hAnsi="Calibri"/>
          <w:color w:val="555555"/>
          <w:sz w:val="22"/>
          <w:szCs w:val="22"/>
        </w:rPr>
        <w:t xml:space="preserve">I bring deep technical expertise across the full stack of data science capabilities. I'm expert in Python and SQL with extensive experience processing both structured data (tabular batch records, sensor streams, relational databases) and unstructured data (regulatory text, PDF documents, operator notes). I've built ETL pipelines using modern data platforms (Snowflake, Databricks), deployed ML models with automated testing and CI/CD practices, and developed data visualization products (Spotfire, custom Python libraries) that deliver delightful user experiences. My work with generative AI includes building RAG systems using HuggingFace and PyTorch, integrating OpenAI API into production workflows, and establishing governance frameworks for responsible AI deployment. While my primary cloud experience is AWS and Databricks rather than GCP, I have strong foundations in cloud architecture patterns and Infrastructure as Code concepts that transfer across platforms.</w:t>
      </w:r>
    </w:p>
    <w:p>
      <w:pPr>
        <w:spacing w:before="200" w:after="200"/>
      </w:pPr>
      <w:r>
        <w:rPr>
          <w:rFonts w:ascii="Calibri" w:cs="Calibri" w:eastAsia="Calibri" w:hAnsi="Calibri"/>
          <w:color w:val="555555"/>
          <w:sz w:val="22"/>
          <w:szCs w:val="22"/>
        </w:rPr>
        <w:t xml:space="preserve">Beyond technical delivery, I excel at leadership in fast-paced environments with decisiveness, consensus-building, empathy, and kindness. I've managed multidisciplinary teams across data science, engineering, and analytics functions using agile methodologies and have proven ability to mentor, motivate, and develop technical talent. At Takeda, I led cross-functional teams delivering ML models driving real-time manufacturing decisions while coordinating with quality, engineering, and IT stakeholders. At Regeneron, I managed vendor relationships and unblocked teams navigating complex platform constraints. My experience in FDA-regulated pharmaceutical environments translates directly to healthcare's rigorous compliance requirements - I understand how to balance innovation velocity with regulatory standards, establish model KPIs for both functional and non-functional performance, and ensure data products meet enterprise-grade quality and auditability standards.</w:t>
      </w:r>
    </w:p>
    <w:p>
      <w:pPr>
        <w:spacing w:before="200" w:after="400"/>
      </w:pPr>
      <w:r>
        <w:rPr>
          <w:rFonts w:ascii="Calibri" w:cs="Calibri" w:eastAsia="Calibri" w:hAnsi="Calibri"/>
          <w:color w:val="555555"/>
          <w:sz w:val="22"/>
          <w:szCs w:val="22"/>
        </w:rPr>
        <w:t xml:space="preserve">I'm inspired by HCA Healthcare's commitment to improving patient care through digital transformation and would welcome the opportunity to contribute technical leadership and organizational expertise to the DT&amp;I team. I'm confident my background building production data science products, managing high-performing teams, and operating in regulated environments positions me to drive meaningful impact. Thank you for considering my application, and I look forward to discussing how I can contribute to HCA's mission.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2026-02-04T20:46:33.095Z</dcterms:created>
  <dcterms:modified xsi:type="dcterms:W3CDTF">2026-02-04T20:46:33.095Z</dcterms:modified>
</cp:coreProperties>
</file>

<file path=docProps/custom.xml><?xml version="1.0" encoding="utf-8"?>
<Properties xmlns="http://schemas.openxmlformats.org/officeDocument/2006/custom-properties" xmlns:vt="http://schemas.openxmlformats.org/officeDocument/2006/docPropsVTypes"/>
</file>