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Data Governance Analyst</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governance and analytics leader with 9+ years of experience in healthcare and pharmaceutical industries, specializing in data quality frameworks, system optimization, and cross-functional collaboration. Proven track record establishing governance standards, managing application workflows, and driving data integrity across enterprise platforms including Snowflake, Databricks, and Spotfire. Expert in translating business requirements into technical solutions while maintaining compliance in FDA-regulated environments.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for FDA Form 483 regulatory intelligence platform serving pharmaceutical clients including Eli Lilly and Merck</w:t>
      </w:r>
    </w:p>
    <w:p>
      <w:pPr>
        <w:pStyle w:val="ListParagraph"/>
        <w:numPr>
          <w:ilvl w:val="0"/>
          <w:numId w:val="2"/>
        </w:numPr>
        <w:spacing w:before="40" w:after="40"/>
      </w:pPr>
      <w:r>
        <w:rPr>
          <w:rFonts w:ascii="Calibri" w:cs="Calibri" w:eastAsia="Calibri" w:hAnsi="Calibri"/>
          <w:color w:val="555555"/>
          <w:sz w:val="20"/>
          <w:szCs w:val="20"/>
        </w:rPr>
        <w:t xml:space="preserve">Designed reference data architecture to harmonize multi-source client data, implementing data quality rules and standardization protocols across Snowflake environment</w:t>
      </w:r>
    </w:p>
    <w:p>
      <w:pPr>
        <w:pStyle w:val="ListParagraph"/>
        <w:numPr>
          <w:ilvl w:val="0"/>
          <w:numId w:val="2"/>
        </w:numPr>
        <w:spacing w:before="40" w:after="40"/>
      </w:pPr>
      <w:r>
        <w:rPr>
          <w:rFonts w:ascii="Calibri" w:cs="Calibri" w:eastAsia="Calibri" w:hAnsi="Calibri"/>
          <w:color w:val="555555"/>
          <w:sz w:val="20"/>
          <w:szCs w:val="20"/>
        </w:rPr>
        <w:t xml:space="preserve">Documented data requirements and technical specifications for enterprise analytics workflows, ensuring compliance with pharma quality standards</w:t>
      </w:r>
    </w:p>
    <w:p>
      <w:pPr>
        <w:pStyle w:val="ListParagraph"/>
        <w:numPr>
          <w:ilvl w:val="0"/>
          <w:numId w:val="2"/>
        </w:numPr>
        <w:spacing w:before="40" w:after="40"/>
      </w:pPr>
      <w:r>
        <w:rPr>
          <w:rFonts w:ascii="Calibri" w:cs="Calibri" w:eastAsia="Calibri" w:hAnsi="Calibri"/>
          <w:color w:val="555555"/>
          <w:sz w:val="20"/>
          <w:szCs w:val="20"/>
        </w:rPr>
        <w:t xml:space="preserve">Led system enhancements and optimizations for production risk-scoring models, managing cross-functional stakeholder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data analytics and governance solutions for clients across healthcare technology and software industries</w:t>
      </w:r>
    </w:p>
    <w:p>
      <w:pPr>
        <w:pStyle w:val="ListParagraph"/>
        <w:numPr>
          <w:ilvl w:val="0"/>
          <w:numId w:val="2"/>
        </w:numPr>
        <w:spacing w:before="40" w:after="40"/>
      </w:pPr>
      <w:r>
        <w:rPr>
          <w:rFonts w:ascii="Calibri" w:cs="Calibri" w:eastAsia="Calibri" w:hAnsi="Calibri"/>
          <w:color w:val="555555"/>
          <w:sz w:val="20"/>
          <w:szCs w:val="20"/>
        </w:rPr>
        <w:t xml:space="preserve">Built production machine learning model for Paradigm using Databricks, coordinating with data engineering teams on deployment and testing</w:t>
      </w:r>
    </w:p>
    <w:p>
      <w:pPr>
        <w:pStyle w:val="ListParagraph"/>
        <w:numPr>
          <w:ilvl w:val="0"/>
          <w:numId w:val="2"/>
        </w:numPr>
        <w:spacing w:before="40" w:after="40"/>
      </w:pPr>
      <w:r>
        <w:rPr>
          <w:rFonts w:ascii="Calibri" w:cs="Calibri" w:eastAsia="Calibri" w:hAnsi="Calibri"/>
          <w:color w:val="555555"/>
          <w:sz w:val="20"/>
          <w:szCs w:val="20"/>
        </w:rPr>
        <w:t xml:space="preserve">Developed full-stack applications with integrated data governance controls, including authentication, data quality validation, and user management via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Managed team of 5 analysts supporting HCP/HCO healthcare reference data operations, dashboard delivery, and data governance for Medical Affairs organization</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and data quality standards for healthcare professional and organization master data management</w:t>
      </w:r>
    </w:p>
    <w:p>
      <w:pPr>
        <w:pStyle w:val="ListParagraph"/>
        <w:numPr>
          <w:ilvl w:val="0"/>
          <w:numId w:val="2"/>
        </w:numPr>
        <w:spacing w:before="40" w:after="40"/>
      </w:pPr>
      <w:r>
        <w:rPr>
          <w:rFonts w:ascii="Calibri" w:cs="Calibri" w:eastAsia="Calibri" w:hAnsi="Calibri"/>
          <w:color w:val="555555"/>
          <w:sz w:val="20"/>
          <w:szCs w:val="20"/>
        </w:rPr>
        <w:t xml:space="preserve">Built centralized data lake consolidating HCP/HCO data from multiple vendors, implementing data cleansing and standardization workflows</w:t>
      </w:r>
    </w:p>
    <w:p>
      <w:pPr>
        <w:pStyle w:val="ListParagraph"/>
        <w:numPr>
          <w:ilvl w:val="0"/>
          <w:numId w:val="2"/>
        </w:numPr>
        <w:spacing w:before="40" w:after="40"/>
      </w:pPr>
      <w:r>
        <w:rPr>
          <w:rFonts w:ascii="Calibri" w:cs="Calibri" w:eastAsia="Calibri" w:hAnsi="Calibri"/>
          <w:color w:val="555555"/>
          <w:sz w:val="20"/>
          <w:szCs w:val="20"/>
        </w:rPr>
        <w:t xml:space="preserve">Authored formal data requirements documentation and coordinated vendor management for data acquisition and quality assurance</w:t>
      </w:r>
    </w:p>
    <w:p>
      <w:pPr>
        <w:pStyle w:val="ListParagraph"/>
        <w:numPr>
          <w:ilvl w:val="0"/>
          <w:numId w:val="2"/>
        </w:numPr>
        <w:spacing w:before="40" w:after="40"/>
      </w:pPr>
      <w:r>
        <w:rPr>
          <w:rFonts w:ascii="Calibri" w:cs="Calibri" w:eastAsia="Calibri" w:hAnsi="Calibri"/>
          <w:color w:val="555555"/>
          <w:sz w:val="20"/>
          <w:szCs w:val="20"/>
        </w:rPr>
        <w:t xml:space="preserve">Provided on-call support to stakeholders for data-related issues and system optimization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managing application builds, upgrades, and configuration changes across manufacturing organization</w:t>
      </w:r>
    </w:p>
    <w:p>
      <w:pPr>
        <w:pStyle w:val="ListParagraph"/>
        <w:numPr>
          <w:ilvl w:val="0"/>
          <w:numId w:val="2"/>
        </w:numPr>
        <w:spacing w:before="40" w:after="40"/>
      </w:pPr>
      <w:r>
        <w:rPr>
          <w:rFonts w:ascii="Calibri" w:cs="Calibri" w:eastAsia="Calibri" w:hAnsi="Calibri"/>
          <w:color w:val="555555"/>
          <w:sz w:val="20"/>
          <w:szCs w:val="20"/>
        </w:rPr>
        <w:t xml:space="preserve">Documented workflow assessments and functional requirements for digital dashboard implementations supporting quality and process monitoring</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meetings, coordinating cross-functional teams to evaluate data quality and system performance</w:t>
      </w:r>
    </w:p>
    <w:p>
      <w:pPr>
        <w:pStyle w:val="ListParagraph"/>
        <w:numPr>
          <w:ilvl w:val="0"/>
          <w:numId w:val="2"/>
        </w:numPr>
        <w:spacing w:before="40" w:after="40"/>
      </w:pPr>
      <w:r>
        <w:rPr>
          <w:rFonts w:ascii="Calibri" w:cs="Calibri" w:eastAsia="Calibri" w:hAnsi="Calibri"/>
          <w:color w:val="555555"/>
          <w:sz w:val="20"/>
          <w:szCs w:val="20"/>
        </w:rPr>
        <w:t xml:space="preserve">Authored data requirements documentation and technical specifications for analytics application enhancements</w:t>
      </w:r>
    </w:p>
    <w:p>
      <w:pPr>
        <w:pStyle w:val="ListParagraph"/>
        <w:numPr>
          <w:ilvl w:val="0"/>
          <w:numId w:val="2"/>
        </w:numPr>
        <w:spacing w:before="40" w:after="40"/>
      </w:pPr>
      <w:r>
        <w:rPr>
          <w:rFonts w:ascii="Calibri" w:cs="Calibri" w:eastAsia="Calibri" w:hAnsi="Calibri"/>
          <w:color w:val="555555"/>
          <w:sz w:val="20"/>
          <w:szCs w:val="20"/>
        </w:rPr>
        <w:t xml:space="preserve">Managed problem, incident, and change management processes for analytics platforms supporting 200+ end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automated data pipelines for biopharmaceutical manufacturing data ingestion, cleaning, and transformation across multiple source systems</w:t>
      </w:r>
    </w:p>
    <w:p>
      <w:pPr>
        <w:pStyle w:val="ListParagraph"/>
        <w:numPr>
          <w:ilvl w:val="0"/>
          <w:numId w:val="2"/>
        </w:numPr>
        <w:spacing w:before="40" w:after="40"/>
      </w:pPr>
      <w:r>
        <w:rPr>
          <w:rFonts w:ascii="Calibri" w:cs="Calibri" w:eastAsia="Calibri" w:hAnsi="Calibri"/>
          <w:color w:val="555555"/>
          <w:sz w:val="20"/>
          <w:szCs w:val="20"/>
        </w:rPr>
        <w:t xml:space="preserve">Developed predictive models for process optimization and quality decisions, documenting test plans and validation results</w:t>
      </w:r>
    </w:p>
    <w:p>
      <w:pPr>
        <w:pStyle w:val="ListParagraph"/>
        <w:numPr>
          <w:ilvl w:val="0"/>
          <w:numId w:val="2"/>
        </w:numPr>
        <w:spacing w:before="40" w:after="40"/>
      </w:pPr>
      <w:r>
        <w:rPr>
          <w:rFonts w:ascii="Calibri" w:cs="Calibri" w:eastAsia="Calibri" w:hAnsi="Calibri"/>
          <w:color w:val="555555"/>
          <w:sz w:val="20"/>
          <w:szCs w:val="20"/>
        </w:rPr>
        <w:t xml:space="preserve">Collaborated with cross-functional teams to assess business needs and provide data-driven recommendations for process improvements</w:t>
      </w:r>
    </w:p>
    <w:p>
      <w:pPr>
        <w:pStyle w:val="ListParagraph"/>
        <w:numPr>
          <w:ilvl w:val="0"/>
          <w:numId w:val="2"/>
        </w:numPr>
        <w:spacing w:before="40" w:after="40"/>
      </w:pPr>
      <w:r>
        <w:rPr>
          <w:rFonts w:ascii="Calibri" w:cs="Calibri" w:eastAsia="Calibri" w:hAnsi="Calibri"/>
          <w:color w:val="555555"/>
          <w:sz w:val="20"/>
          <w:szCs w:val="20"/>
        </w:rPr>
        <w:t xml:space="preserve">Presented technical solutions and system optimization strategies to senior leadership and stakeholders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on optimization and control methods for complex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Governance &amp; Management: </w:t>
      </w:r>
      <w:r>
        <w:rPr>
          <w:rFonts w:ascii="Calibri" w:cs="Calibri" w:eastAsia="Calibri" w:hAnsi="Calibri"/>
          <w:color w:val="555555"/>
          <w:sz w:val="20"/>
          <w:szCs w:val="20"/>
        </w:rPr>
        <w:t xml:space="preserve">Data Quality Frameworks  •  Master Data Management  •  Data Requirements Documentation  •  Reference Data Architecture  •  Data Standardization  •  Vendor Management</w:t>
      </w:r>
    </w:p>
    <w:p>
      <w:pPr>
        <w:spacing w:before="100" w:after="40"/>
      </w:pPr>
      <w:r>
        <w:rPr>
          <w:rFonts w:ascii="Calibri" w:cs="Calibri" w:eastAsia="Calibri" w:hAnsi="Calibri"/>
          <w:b/>
          <w:bCs/>
          <w:color w:val="000000"/>
          <w:sz w:val="20"/>
          <w:szCs w:val="20"/>
        </w:rPr>
        <w:t xml:space="preserve">Platforms &amp; Applications: </w:t>
      </w:r>
      <w:r>
        <w:rPr>
          <w:rFonts w:ascii="Calibri" w:cs="Calibri" w:eastAsia="Calibri" w:hAnsi="Calibri"/>
          <w:color w:val="555555"/>
          <w:sz w:val="20"/>
          <w:szCs w:val="20"/>
        </w:rPr>
        <w:t xml:space="preserve">Snowflake  •  Databricks  •  Spotfire  •  Sigma  •  AWS  •  Supabase</w:t>
      </w:r>
    </w:p>
    <w:p>
      <w:pPr>
        <w:spacing w:before="100" w:after="40"/>
      </w:pPr>
      <w:r>
        <w:rPr>
          <w:rFonts w:ascii="Calibri" w:cs="Calibri" w:eastAsia="Calibri" w:hAnsi="Calibri"/>
          <w:b/>
          <w:bCs/>
          <w:color w:val="000000"/>
          <w:sz w:val="20"/>
          <w:szCs w:val="20"/>
        </w:rPr>
        <w:t xml:space="preserve">Programming &amp; Analytics: </w:t>
      </w:r>
      <w:r>
        <w:rPr>
          <w:rFonts w:ascii="Calibri" w:cs="Calibri" w:eastAsia="Calibri" w:hAnsi="Calibri"/>
          <w:color w:val="555555"/>
          <w:sz w:val="20"/>
          <w:szCs w:val="20"/>
        </w:rPr>
        <w:t xml:space="preserve">Python  •  SQL  •  Pandas  •  Data Pipelines  •  ETL/ELT  •  Machine Learning</w:t>
      </w:r>
    </w:p>
    <w:p>
      <w:pPr>
        <w:spacing w:before="100" w:after="40"/>
      </w:pPr>
      <w:r>
        <w:rPr>
          <w:rFonts w:ascii="Calibri" w:cs="Calibri" w:eastAsia="Calibri" w:hAnsi="Calibri"/>
          <w:b/>
          <w:bCs/>
          <w:color w:val="000000"/>
          <w:sz w:val="20"/>
          <w:szCs w:val="20"/>
        </w:rPr>
        <w:t xml:space="preserve">Project &amp; Process Management: </w:t>
      </w:r>
      <w:r>
        <w:rPr>
          <w:rFonts w:ascii="Calibri" w:cs="Calibri" w:eastAsia="Calibri" w:hAnsi="Calibri"/>
          <w:color w:val="555555"/>
          <w:sz w:val="20"/>
          <w:szCs w:val="20"/>
        </w:rPr>
        <w:t xml:space="preserve">Cross-Functional Collaboration  •  Workflow Assessment  •  System Testing  •  Problem Management  •  Change Management  •  Technical Documentation</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2026-02-04T14:14:58.504Z</dcterms:created>
  <dcterms:modified xsi:type="dcterms:W3CDTF">2026-02-04T14:14:58.504Z</dcterms:modified>
</cp:coreProperties>
</file>

<file path=docProps/custom.xml><?xml version="1.0" encoding="utf-8"?>
<Properties xmlns="http://schemas.openxmlformats.org/officeDocument/2006/custom-properties" xmlns:vt="http://schemas.openxmlformats.org/officeDocument/2006/docPropsVTypes"/>
</file>