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Surgery Partners</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Director, Data Product Solutioning and Build</w:t>
      </w:r>
    </w:p>
    <w:p>
      <w:pPr>
        <w:spacing w:before="200" w:after="200"/>
      </w:pPr>
      <w:r>
        <w:rPr>
          <w:rFonts w:ascii="Calibri" w:cs="Calibri" w:eastAsia="Calibri" w:hAnsi="Calibri"/>
          <w:color w:val="555555"/>
          <w:sz w:val="22"/>
          <w:szCs w:val="22"/>
        </w:rPr>
        <w:t xml:space="preserve">I am writing to express my strong interest in the Senior Director of Data Product Solutioning and Build position at Surgery Partners. With over 9 years of experience designing and building data products that drive operational decision-making, leading teams through product development lifecycles, and integrating AI/ML to enhance efficiency, I am excited about the opportunity to shape Surgery Partners' data product strategy and deliver innovative solutions for your internal data customers.</w:t>
      </w:r>
    </w:p>
    <w:p>
      <w:pPr>
        <w:spacing w:before="200" w:after="200"/>
      </w:pPr>
      <w:r>
        <w:rPr>
          <w:rFonts w:ascii="Calibri" w:cs="Calibri" w:eastAsia="Calibri" w:hAnsi="Calibri"/>
          <w:color w:val="555555"/>
          <w:sz w:val="22"/>
          <w:szCs w:val="22"/>
        </w:rPr>
        <w:t xml:space="preserve">I bring deep expertise in the core responsibilities this role requires. At Redica Systems, I lead data product strategy for pharmaceutical clients, engaging with stakeholders to understand business needs and design solutions that change how quality and compliance teams assess risk. I built an FDA regulatory intelligence platform starting with rapid prototyping and iterating into an enterprise-scale tool used daily across multiple organizations. I integrated AI techniques including a production LLM classifier that automates risk categorization, reducing manual upkeep and demonstrating the efficiency gains possible through thoughtful AI integration. This work directly aligns with Surgery Partners' focus on building products that lead to operational action and behavior change.</w:t>
      </w:r>
    </w:p>
    <w:p>
      <w:pPr>
        <w:spacing w:before="200" w:after="200"/>
      </w:pPr>
      <w:r>
        <w:rPr>
          <w:rFonts w:ascii="Calibri" w:cs="Calibri" w:eastAsia="Calibri" w:hAnsi="Calibri"/>
          <w:color w:val="555555"/>
          <w:sz w:val="22"/>
          <w:szCs w:val="22"/>
        </w:rPr>
        <w:t xml:space="preserve">My experience collaborating with IT Data Engineering teams positions me well for the strategic alignment aspects of this role. At Gilead, I worked closely with data engineering to align architecture and roadmap with analytics team requirements, driving integration strategies for healthcare reference data across multiple source systems. I translated business requirements from Medical Affairs stakeholders into technical specifications, conducted buy/build evaluations for vendor solutions, and ensured our data products met enterprise quality standards. I also established data standardization frameworks by building tools using common data structures and definitions, improving consistency across the organization-directly relevant to Surgery Partners' need for organization-wide data lexicon reinforcement.</w:t>
      </w:r>
    </w:p>
    <w:p>
      <w:pPr>
        <w:spacing w:before="200" w:after="200"/>
      </w:pPr>
      <w:r>
        <w:rPr>
          <w:rFonts w:ascii="Calibri" w:cs="Calibri" w:eastAsia="Calibri" w:hAnsi="Calibri"/>
          <w:color w:val="555555"/>
          <w:sz w:val="22"/>
          <w:szCs w:val="22"/>
        </w:rPr>
        <w:t xml:space="preserve">I have proven leadership experience building and developing teams. At Gilead, I led a team of 5 developing and maintaining internal data tools (Spotfire dashboards), coaching and mentoring them on analytics best practices and building organizational capability. I partnered with stakeholders to gather feedback for continuous improvement and tool iteration, tracking adoption metrics and operational results from dashboard usage. At Takeda, I served as Spotfire system administrator and product owner, leading development of analytics tools that drove manufacturing decisions and conducting quarterly reviews to track metrics outcomes. My expertise spans Sigma, Spotfire, Snowflake, Databricks, and modern analytics platforms, with strong project management capabilities demonstrated across multiple enterprise-scale implementations.</w:t>
      </w:r>
    </w:p>
    <w:p>
      <w:pPr>
        <w:spacing w:before="200" w:after="200"/>
      </w:pPr>
      <w:r>
        <w:rPr>
          <w:rFonts w:ascii="Calibri" w:cs="Calibri" w:eastAsia="Calibri" w:hAnsi="Calibri"/>
          <w:color w:val="555555"/>
          <w:sz w:val="22"/>
          <w:szCs w:val="22"/>
        </w:rPr>
        <w:t xml:space="preserve">My pharmaceutical and healthcare experience provides valuable domain knowledge for Surgery Partners' healthcare services environment. I have 9 years working with healthcare and pharmaceutical data at Regeneron, Takeda, and Gilead, understanding the operational complexities, quality standards, and regulatory requirements in healthcare settings. I am passionate about fostering cultures of innovation and continuous improvement, and I am excited about the opportunity to apply my data product expertise to help Surgery Partners' operators make better decisions through advanced analytics and AI-powered tools.</w:t>
      </w:r>
    </w:p>
    <w:p>
      <w:pPr>
        <w:spacing w:before="200" w:after="400"/>
      </w:pPr>
      <w:r>
        <w:rPr>
          <w:rFonts w:ascii="Calibri" w:cs="Calibri" w:eastAsia="Calibri" w:hAnsi="Calibri"/>
          <w:color w:val="555555"/>
          <w:sz w:val="22"/>
          <w:szCs w:val="22"/>
        </w:rPr>
        <w:t xml:space="preserve">I would welcome the opportunity to discuss how my data product development experience, technical leadership, and healthcare domain knowledge can contribute to Surgery Partners' analytics vision. Thank you for your consideration, and I look forward to speaking with you.</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2026-02-04T14:15:02.227Z</dcterms:created>
  <dcterms:modified xsi:type="dcterms:W3CDTF">2026-02-04T14:15:02.227Z</dcterms:modified>
</cp:coreProperties>
</file>

<file path=docProps/custom.xml><?xml version="1.0" encoding="utf-8"?>
<Properties xmlns="http://schemas.openxmlformats.org/officeDocument/2006/custom-properties" xmlns:vt="http://schemas.openxmlformats.org/officeDocument/2006/docPropsVTypes"/>
</file>