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Bridgeview</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Data &amp; Analytics</w:t>
      </w:r>
    </w:p>
    <w:p>
      <w:pPr>
        <w:spacing w:before="200" w:after="200"/>
      </w:pPr>
      <w:r>
        <w:rPr>
          <w:rFonts w:ascii="Calibri" w:cs="Calibri" w:eastAsia="Calibri" w:hAnsi="Calibri"/>
          <w:color w:val="555555"/>
          <w:sz w:val="22"/>
          <w:szCs w:val="22"/>
        </w:rPr>
        <w:t xml:space="preserve">I am writing to express my strong interest in the Director of Data &amp; Analytics position at Bridgeview. With over 10 years of combined technical and business experience building enterprise data and analytics capabilities in healthcare and pharmaceutical organizations, combined with proven leadership experience and deep expertise in data strategy, governance, analytics platforms, and AI applications, I am excited about the opportunity to lead Bridgeview's enterprise data and analytics capability to enable insight-driven decision-making across clinical, operational, financial, and growth initiatives.</w:t>
      </w:r>
    </w:p>
    <w:p>
      <w:pPr>
        <w:spacing w:before="200" w:after="200"/>
      </w:pPr>
      <w:r>
        <w:rPr>
          <w:rFonts w:ascii="Calibri" w:cs="Calibri" w:eastAsia="Calibri" w:hAnsi="Calibri"/>
          <w:color w:val="555555"/>
          <w:sz w:val="22"/>
          <w:szCs w:val="22"/>
        </w:rPr>
        <w:t xml:space="preserve">Throughout my career at Regeneron Pharmaceuticals, Takeda Pharmaceuticals, Gilead Sciences, and Redica Systems, I have led the development and execution of enterprise data, analytics, and AI strategies supporting organizational goals. At Gilead, I built the enterprise data and analytics capability for Medical Affairs from the ground up-I defined the long-term vision, established comprehensive data governance frameworks including HIPAA compliance for healthcare professional data, built centralized data lake and analytics platform (Spotfire), and delivered insights across clinical engagement, operational planning, and performance management. I provided leadership to a team of analysts and developers, supported education and adoption of analytics tools across the organization, and collaborated with IT, Medical Affairs leadership, Legal, Regulatory, and cross-functional stakeholders to align data capabilities with business priorities. At Redica Systems, I led data, analytics, and AI strategy for pharmaceutical clients establishing policies for data management, integration, and reporting across operational and quality systems on cloud platforms (Snowflake). I identified business requirements where analytics materially improved decision-making and efficiency, built risk-scoring models enabling optimized resource allocation, and served as analytics advocate promoting data-driven culture.</w:t>
      </w:r>
    </w:p>
    <w:p>
      <w:pPr>
        <w:spacing w:before="200" w:after="200"/>
      </w:pPr>
      <w:r>
        <w:rPr>
          <w:rFonts w:ascii="Calibri" w:cs="Calibri" w:eastAsia="Calibri" w:hAnsi="Calibri"/>
          <w:color w:val="555555"/>
          <w:sz w:val="22"/>
          <w:szCs w:val="22"/>
        </w:rPr>
        <w:t xml:space="preserve">I have deep technical knowledge of analytics platforms, data warehouses, reporting solutions, and data governance practices. At Takeda, I owned the enterprise Spotfire analytics platform establishing governance, standards, training programs, and adoption initiatives while leading data science and statistical monitoring teams. I participated in IT planning and governance forums contributing to enterprise standards and value realization. At Regeneron, I developed analytics capabilities supporting manufacturing operations and quality management, established data governance practices including quality standards and validation protocols supporting GxP compliance, and delivered predictive models that improved operational efficiency including 80% reduction in manual effort and reduced quality failures. My technical stack includes modern cloud platforms (Snowflake, Databricks, AWS), analytics and BI tools (Spotfire, Sigma), programming languages (Python, SQL), and data engineering capabilities (pipelines, warehouses, integration).</w:t>
      </w:r>
    </w:p>
    <w:p>
      <w:pPr>
        <w:spacing w:before="200" w:after="200"/>
      </w:pPr>
      <w:r>
        <w:rPr>
          <w:rFonts w:ascii="Calibri" w:cs="Calibri" w:eastAsia="Calibri" w:hAnsi="Calibri"/>
          <w:color w:val="555555"/>
          <w:sz w:val="22"/>
          <w:szCs w:val="22"/>
        </w:rPr>
        <w:t xml:space="preserve">I have proven expertise in responsible AI application. At Redica, I developed and executed AI strategy including a production LLM classifier-I established governance frameworks, validation protocols, bias testing, monitoring, and audit trails ensuring AI applications were trustworthy and compliant with healthcare regulatory standards. I am a recognized thought leader presenting at industry conferences (CHPA, ISPE) on AI applications in healthcare and regulated industries. While my healthcare experience has been in pharmaceutical manufacturing and medical affairs operations rather than revenue cycle management specifically, I have consistently demonstrated ability to understand complex operational environments, partner with business and clinical leaders, identify analytics opportunities that drive measurable outcomes, and build enterprise data capabilities that enable trusted, actionable insights. The core competencies-defining data strategy, establishing governance, building analytics platforms, delivering insights across clinical and operational functions, leading teams, and driving adoption-are directly transferable to Bridgeview's healthcare services environment. I would be excited to bring this experience to lead Bridgeview's enterprise data and analytics capability and advance the organization's commitment to data-driven excellence in patient care.</w:t>
      </w:r>
    </w:p>
    <w:p>
      <w:pPr>
        <w:spacing w:before="200" w:after="400"/>
      </w:pPr>
      <w:r>
        <w:rPr>
          <w:rFonts w:ascii="Calibri" w:cs="Calibri" w:eastAsia="Calibri" w:hAnsi="Calibri"/>
          <w:color w:val="555555"/>
          <w:sz w:val="22"/>
          <w:szCs w:val="22"/>
        </w:rPr>
        <w:t xml:space="preserve">I would welcome the opportunity to discuss how my experience building enterprise data and analytics capabilities in healthcare organizations can contribute to Bridgeview's strategic goals.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2026-02-03T16:09:20.981Z</dcterms:created>
  <dcterms:modified xsi:type="dcterms:W3CDTF">2026-02-03T16:09:20.981Z</dcterms:modified>
</cp:coreProperties>
</file>

<file path=docProps/custom.xml><?xml version="1.0" encoding="utf-8"?>
<Properties xmlns="http://schemas.openxmlformats.org/officeDocument/2006/custom-properties" xmlns:vt="http://schemas.openxmlformats.org/officeDocument/2006/docPropsVTypes"/>
</file>