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McKesson</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Data Governance</w:t>
      </w:r>
    </w:p>
    <w:p>
      <w:pPr>
        <w:spacing w:before="200" w:after="200"/>
      </w:pPr>
      <w:r>
        <w:rPr>
          <w:rFonts w:ascii="Calibri" w:cs="Calibri" w:eastAsia="Calibri" w:hAnsi="Calibri"/>
          <w:color w:val="555555"/>
          <w:sz w:val="22"/>
          <w:szCs w:val="22"/>
        </w:rPr>
        <w:t xml:space="preserve">I am writing to express my strong interest in the Director of Data Governance position within McKesson's Pharmaceutical Solutions and Services. With over 10 years of experience building and operationalizing data governance frameworks in FDA-regulated pharmaceutical and healthcare organizations, combined with deep expertise in healthcare data operations and regulatory compliance, I am excited about the opportunity to lead data governance strategy and execution that transforms data into a trusted strategic asset.</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(supporting pharmaceutical clients including Eli Lilly and Merck), I have built comprehensive data governance programs that drive stewardship, ownership, and compliance. At Gilead, I led an enterprise data governance program for Medical Affairs managing HCP/HCO healthcare reference data-I established the governance framework and operating model aligned with enterprise policies, promoted accountability through clear stewardship roles and ownership models, built enterprise data catalogs with metadata management and data lineage, and ensured HIPAA compliance for healthcare professional information and privacy standards. I collaborated cross-functionally in a strongly matrixed environment with Legal, Regulatory Affairs, Compliance, IT, and business stakeholders to enforce data access controls while identifying new data opportunities. At Redica Systems, I drove data governance strategy for pharmaceutical clients establishing frameworks for data classification, cataloging, quality standards, and usage aligned with FDA requirements. I maintained inventories of key data assets, monitored governance health, and implemented continuous improvement initiatives.</w:t>
      </w:r>
    </w:p>
    <w:p>
      <w:pPr>
        <w:spacing w:before="200" w:after="200"/>
      </w:pPr>
      <w:r>
        <w:rPr>
          <w:rFonts w:ascii="Calibri" w:cs="Calibri" w:eastAsia="Calibri" w:hAnsi="Calibri"/>
          <w:color w:val="555555"/>
          <w:sz w:val="22"/>
          <w:szCs w:val="22"/>
        </w:rPr>
        <w:t xml:space="preserve">My governance expertise extends to AI and ML systems. At Redica, I established policies and governance controls for a production LLM classifier including validation frameworks, model behavior documentation, bias testing, monitoring, and audit trails. At Takeda, I embedded governance controls into ML model deployment pipelines implementing model registries, version control, drift detection, and performance monitoring. This experience positions me well to establish policies for AI agent usage, context handling, error escalation, and human approvals as McKesson advances AI capabilities. I have hands-on experience with data quality management-at Gilead, I implemented data quality frameworks with validation rules and automated testing; at Takeda, I established validation rules and anomaly detection for manufacturing data; at Regeneron, I built data quality controls supporting GxP compliance and regulatory submissions.</w:t>
      </w:r>
    </w:p>
    <w:p>
      <w:pPr>
        <w:spacing w:before="200" w:after="200"/>
      </w:pPr>
      <w:r>
        <w:rPr>
          <w:rFonts w:ascii="Calibri" w:cs="Calibri" w:eastAsia="Calibri" w:hAnsi="Calibri"/>
          <w:color w:val="555555"/>
          <w:sz w:val="22"/>
          <w:szCs w:val="22"/>
        </w:rPr>
        <w:t xml:space="preserve">My healthcare and pharmaceutical background spans FDA-regulated manufacturing and quality operations at Regeneron, Takeda, and medical affairs operations at Gilead where I managed healthcare reference data under HIPAA. I understand data privacy regulations including HIPAA, GDPR, and CCPA, and I have extensive experience operating in regulated environments with strong governance and compliance requirements (FDA, 21 CFR Part 11, GxP). I have worked closely with senior leadership, data engineering, and data science teams to integrate governance initiatives into enterprise strategies, and I excel at executive engagement and stakeholder management across all organizational levels. I stay current on industry best practices through participation in conferences (CHPA, ISPE) where I present on AI applications and regulatory compliance in FDA-regulated industries. While my pharmaceutical experience has been in manufacturing and medical affairs rather than pharmaceutical distribution specifically, the core governance competencies-establishing frameworks, driving stewardship, ensuring compliance, collaborating cross-functionally, and maintaining data quality-are directly transferable to McKesson's PSaS environment.</w:t>
      </w:r>
    </w:p>
    <w:p>
      <w:pPr>
        <w:spacing w:before="200" w:after="400"/>
      </w:pPr>
      <w:r>
        <w:rPr>
          <w:rFonts w:ascii="Calibri" w:cs="Calibri" w:eastAsia="Calibri" w:hAnsi="Calibri"/>
          <w:color w:val="555555"/>
          <w:sz w:val="22"/>
          <w:szCs w:val="22"/>
        </w:rPr>
        <w:t xml:space="preserve">I would welcome the opportunity to discuss how my experience building data governance programs in regulated pharmaceutical and healthcare organizations can contribute to McKesson's data governance strategy.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2026-02-03T16:09:38.095Z</dcterms:created>
  <dcterms:modified xsi:type="dcterms:W3CDTF">2026-02-03T16:09:38.095Z</dcterms:modified>
</cp:coreProperties>
</file>

<file path=docProps/custom.xml><?xml version="1.0" encoding="utf-8"?>
<Properties xmlns="http://schemas.openxmlformats.org/officeDocument/2006/custom-properties" xmlns:vt="http://schemas.openxmlformats.org/officeDocument/2006/docPropsVTypes"/>
</file>