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2,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Point</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Head of Data</w:t>
      </w:r>
    </w:p>
    <w:p>
      <w:pPr>
        <w:spacing w:before="200" w:after="200"/>
      </w:pPr>
      <w:r>
        <w:rPr>
          <w:rFonts w:ascii="Calibri" w:cs="Calibri" w:eastAsia="Calibri" w:hAnsi="Calibri"/>
          <w:color w:val="555555"/>
          <w:sz w:val="22"/>
          <w:szCs w:val="22"/>
        </w:rPr>
        <w:t xml:space="preserve">I'm writing to express my strong interest in the Head of Data role at Point. With over 12 years leading analytics, data engineering, and data science teams to drive measurable business impact, I'm excited by the opportunity to scale Point's data function and raise the bar on analytical rigor in a high-growth environment.</w:t>
      </w:r>
    </w:p>
    <w:p>
      <w:pPr>
        <w:spacing w:before="200" w:after="200"/>
      </w:pPr>
      <w:r>
        <w:rPr>
          <w:rFonts w:ascii="Calibri" w:cs="Calibri" w:eastAsia="Calibri" w:hAnsi="Calibri"/>
          <w:color w:val="555555"/>
          <w:sz w:val="22"/>
          <w:szCs w:val="22"/>
        </w:rPr>
        <w:t xml:space="preserve">Throughout my career, I've built and evolved modern data platforms that translate directly to Point's stack and priorities. At Redica Systems, I architected a Snowflake-based regulatory intelligence platform, designed scalable data models, and built production ML systems (including an LLM classifier running across our entire platform). At Gilead Sciences, I built a centralized data lake as single source of truth for healthcare reference data, established company-wide metric definitions and governance frameworks, and led a team of 5+ analysts delivering analytics that directly influenced strategic decisions. These experiences mirror Point's mandate: inherit a strong technical foundation, drive analytical rigor, and ensure data efforts align tightly with business priorities.</w:t>
      </w:r>
    </w:p>
    <w:p>
      <w:pPr>
        <w:spacing w:before="200" w:after="200"/>
      </w:pPr>
      <w:r>
        <w:rPr>
          <w:rFonts w:ascii="Calibri" w:cs="Calibri" w:eastAsia="Calibri" w:hAnsi="Calibri"/>
          <w:color w:val="555555"/>
          <w:sz w:val="22"/>
          <w:szCs w:val="22"/>
        </w:rPr>
        <w:t xml:space="preserve">What excites me most about this role is the balance of hands-on technical work and strategic leadership. I've consistently operated at this intersection - personally building production models (quote fingerprinting in Databricks, RAG systems, risk scoring algorithms) while simultaneously setting analytical strategy, owning metric definitions, and ensuring team efforts drive meaningful outcomes. At Takeda, I led both the data science group and statistical monitoring team, managed our Spotfire platform, and translated complex analytics into executive-ready insights for APQR meetings. I know when to dive in technically and when to delegate, and I've built teams that deliver business impact rather than just technical outputs.</w:t>
      </w:r>
    </w:p>
    <w:p>
      <w:pPr>
        <w:spacing w:before="200" w:after="200"/>
      </w:pPr>
      <w:r>
        <w:rPr>
          <w:rFonts w:ascii="Calibri" w:cs="Calibri" w:eastAsia="Calibri" w:hAnsi="Calibri"/>
          <w:color w:val="555555"/>
          <w:sz w:val="22"/>
          <w:szCs w:val="22"/>
        </w:rPr>
        <w:t xml:space="preserve">I thrive on translating ambiguous business problems into clear analytical frameworks. Whether designing reference data architecture to harmonize messy multi-source client data at Redica, or establishing data governance policies at Gilead that brought clarity and consistency to Medical Affairs analytics, I focus on solving the problems that matter most. I'm drawn to Point's emphasis on decision-oriented analytics and measurable impact - data work should drive better business decisions, not just produce dashboards. I'd bring both the technical depth to evaluate data architectures and tooling, and the leadership approach to build a high-performing team that delivers outcomes.</w:t>
      </w:r>
    </w:p>
    <w:p>
      <w:pPr>
        <w:spacing w:before="200" w:after="400"/>
      </w:pPr>
      <w:r>
        <w:rPr>
          <w:rFonts w:ascii="Calibri" w:cs="Calibri" w:eastAsia="Calibri" w:hAnsi="Calibri"/>
          <w:color w:val="555555"/>
          <w:sz w:val="22"/>
          <w:szCs w:val="22"/>
        </w:rPr>
        <w:t xml:space="preserve">I'd welcome the opportunity to discuss how my experience scaling data platforms, leading cross-functional analytics teams, and driving business impact through rigorous, decision-oriented analytics could help Point achieve its growth objectives.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2026-02-03T16:49:34.403Z</dcterms:created>
  <dcterms:modified xsi:type="dcterms:W3CDTF">2026-02-03T16:49:34.403Z</dcterms:modified>
</cp:coreProperties>
</file>

<file path=docProps/custom.xml><?xml version="1.0" encoding="utf-8"?>
<Properties xmlns="http://schemas.openxmlformats.org/officeDocument/2006/custom-properties" xmlns:vt="http://schemas.openxmlformats.org/officeDocument/2006/docPropsVTypes"/>
</file>