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Sr. Director, Enterprise Data Governance</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governance and analytics leader with 10+ years of experience building and operationalizing enterprise data governance frameworks in FDA-regulated pharmaceutical and healthcare organizations. Proven expertise defining governance strategy, establishing data policies and standards, implementing operating models, and ensuring regulatory compliance across complex, matrixed environments. Strong executive communication and stakeholder management skills with track record partnering with Legal, Compliance, Security, IT, and business domain leaders to embed governance as core capability. Deep experience in data quality standards, metadata management, data lineage, and governance enablement supporting analytics and AI/ML systems. Recognized thought leader presenting on AI governance and regulatory compliance at industry conferences.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Defined and evolved enterprise data governance strategy for pharmaceutical clients (Eli Lilly, Merck) aligned to business priorities, regulatory obligations (FDA), and AI readiness—established governance frameworks ensuring data was trusted, secure, compliant, and fit for advanced analytics and AI-driven use cases</w:t>
      </w:r>
    </w:p>
    <w:p>
      <w:pPr>
        <w:pStyle w:val="ListParagraph"/>
        <w:numPr>
          <w:ilvl w:val="0"/>
          <w:numId w:val="2"/>
        </w:numPr>
        <w:spacing w:before="40" w:after="40"/>
      </w:pPr>
      <w:r>
        <w:rPr>
          <w:rFonts w:ascii="Calibri" w:cs="Calibri" w:eastAsia="Calibri" w:hAnsi="Calibri"/>
          <w:color w:val="555555"/>
          <w:sz w:val="20"/>
          <w:szCs w:val="20"/>
        </w:rPr>
        <w:t xml:space="preserve">Owned development, maintenance, and enforcement of enterprise data policies and standards for data classification, quality, lineage, metadata management, and access controls—partnered with client Legal, Compliance, Quality, and IT teams to enforce regulatory requirements</w:t>
      </w:r>
    </w:p>
    <w:p>
      <w:pPr>
        <w:pStyle w:val="ListParagraph"/>
        <w:numPr>
          <w:ilvl w:val="0"/>
          <w:numId w:val="2"/>
        </w:numPr>
        <w:spacing w:before="40" w:after="40"/>
      </w:pPr>
      <w:r>
        <w:rPr>
          <w:rFonts w:ascii="Calibri" w:cs="Calibri" w:eastAsia="Calibri" w:hAnsi="Calibri"/>
          <w:color w:val="555555"/>
          <w:sz w:val="20"/>
          <w:szCs w:val="20"/>
        </w:rPr>
        <w:t xml:space="preserve">Established governance controls supporting regulatory compliance including FDA 21 CFR Part 11, data integrity requirements, and audit readiness—provided transparent reporting on policy compliance and data quality metrics to executive stakeholders</w:t>
      </w:r>
    </w:p>
    <w:p>
      <w:pPr>
        <w:pStyle w:val="ListParagraph"/>
        <w:numPr>
          <w:ilvl w:val="0"/>
          <w:numId w:val="2"/>
        </w:numPr>
        <w:spacing w:before="40" w:after="40"/>
      </w:pPr>
      <w:r>
        <w:rPr>
          <w:rFonts w:ascii="Calibri" w:cs="Calibri" w:eastAsia="Calibri" w:hAnsi="Calibri"/>
          <w:color w:val="555555"/>
          <w:sz w:val="20"/>
          <w:szCs w:val="20"/>
        </w:rPr>
        <w:t xml:space="preserve">Built and operationalized AI governance framework for production LLM classifier—defined policies for model validation, bias testing, monitoring, audit trails, and risk management ensuring responsible AI deployment aligned with regulatory standards</w:t>
      </w:r>
    </w:p>
    <w:p>
      <w:pPr>
        <w:pStyle w:val="ListParagraph"/>
        <w:numPr>
          <w:ilvl w:val="0"/>
          <w:numId w:val="2"/>
        </w:numPr>
        <w:spacing w:before="40" w:after="40"/>
      </w:pPr>
      <w:r>
        <w:rPr>
          <w:rFonts w:ascii="Calibri" w:cs="Calibri" w:eastAsia="Calibri" w:hAnsi="Calibri"/>
          <w:color w:val="555555"/>
          <w:sz w:val="20"/>
          <w:szCs w:val="20"/>
        </w:rPr>
        <w:t xml:space="preserve">Maintained data management compliance metrics across data quality, lineage, catalog completeness, and stewardship accountability—established KPIs, dashboards, and executive reporting providing visibility into data risk and governance health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Provided enterprise-wide leadership for data governance across Medical Affairs organization—defined governance strategy, policies, and operating model ensuring HCP/HCO healthcare reference data was trusted, secure, compliant with HIPAA, and fit for analytics use cases</w:t>
      </w:r>
    </w:p>
    <w:p>
      <w:pPr>
        <w:pStyle w:val="ListParagraph"/>
        <w:numPr>
          <w:ilvl w:val="0"/>
          <w:numId w:val="2"/>
        </w:numPr>
        <w:spacing w:before="40" w:after="40"/>
      </w:pPr>
      <w:r>
        <w:rPr>
          <w:rFonts w:ascii="Calibri" w:cs="Calibri" w:eastAsia="Calibri" w:hAnsi="Calibri"/>
          <w:color w:val="555555"/>
          <w:sz w:val="20"/>
          <w:szCs w:val="20"/>
        </w:rPr>
        <w:t xml:space="preserve">Acted as trusted advisor to executive stakeholders including Medical Affairs senior leadership, partnering with Legal, Regulatory Affairs, Compliance, IT, and Security teams to embed governance as core enterprise capability</w:t>
      </w:r>
    </w:p>
    <w:p>
      <w:pPr>
        <w:pStyle w:val="ListParagraph"/>
        <w:numPr>
          <w:ilvl w:val="0"/>
          <w:numId w:val="2"/>
        </w:numPr>
        <w:spacing w:before="40" w:after="40"/>
      </w:pPr>
      <w:r>
        <w:rPr>
          <w:rFonts w:ascii="Calibri" w:cs="Calibri" w:eastAsia="Calibri" w:hAnsi="Calibri"/>
          <w:color w:val="555555"/>
          <w:sz w:val="20"/>
          <w:szCs w:val="20"/>
        </w:rPr>
        <w:t xml:space="preserve">Established data policies and standards for data quality, classification, metadata management, data lineage, and access controls—chaired governance forums with cross-functional stakeholders driving decision-making and accountability</w:t>
      </w:r>
    </w:p>
    <w:p>
      <w:pPr>
        <w:pStyle w:val="ListParagraph"/>
        <w:numPr>
          <w:ilvl w:val="0"/>
          <w:numId w:val="2"/>
        </w:numPr>
        <w:spacing w:before="40" w:after="40"/>
      </w:pPr>
      <w:r>
        <w:rPr>
          <w:rFonts w:ascii="Calibri" w:cs="Calibri" w:eastAsia="Calibri" w:hAnsi="Calibri"/>
          <w:color w:val="555555"/>
          <w:sz w:val="20"/>
          <w:szCs w:val="20"/>
        </w:rPr>
        <w:t xml:space="preserve">Built data catalog and metadata management infrastructure enabling data discovery, lineage tracking, and stewardship alignment—established clear ownership, quality expectations, and accountability for enterprise data assets</w:t>
      </w:r>
    </w:p>
    <w:p>
      <w:pPr>
        <w:pStyle w:val="ListParagraph"/>
        <w:numPr>
          <w:ilvl w:val="0"/>
          <w:numId w:val="2"/>
        </w:numPr>
        <w:spacing w:before="40" w:after="40"/>
      </w:pPr>
      <w:r>
        <w:rPr>
          <w:rFonts w:ascii="Calibri" w:cs="Calibri" w:eastAsia="Calibri" w:hAnsi="Calibri"/>
          <w:color w:val="555555"/>
          <w:sz w:val="20"/>
          <w:szCs w:val="20"/>
        </w:rPr>
        <w:t xml:space="preserve">Led governance enablement programs including data steward training, documentation of best practices, and maturity assessments—fostered culture of accountability and data management excellence across organization</w:t>
      </w:r>
    </w:p>
    <w:p>
      <w:pPr>
        <w:pStyle w:val="ListParagraph"/>
        <w:numPr>
          <w:ilvl w:val="0"/>
          <w:numId w:val="2"/>
        </w:numPr>
        <w:spacing w:before="40" w:after="40"/>
      </w:pPr>
      <w:r>
        <w:rPr>
          <w:rFonts w:ascii="Calibri" w:cs="Calibri" w:eastAsia="Calibri" w:hAnsi="Calibri"/>
          <w:color w:val="555555"/>
          <w:sz w:val="20"/>
          <w:szCs w:val="20"/>
        </w:rPr>
        <w:t xml:space="preserve">Defined and operationalized data quality metrics and KPIs with executive dashboards providing trend analysis and transparent reporting on governance health, compliance status, and data asset maturity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Defined and implemented data governance strategy for manufacturing and quality operations aligned to business priorities and regulatory obligations (FDA, GxP)—established policies, standards, and operating models ensuring data supported regulatory compliance</w:t>
      </w:r>
    </w:p>
    <w:p>
      <w:pPr>
        <w:pStyle w:val="ListParagraph"/>
        <w:numPr>
          <w:ilvl w:val="0"/>
          <w:numId w:val="2"/>
        </w:numPr>
        <w:spacing w:before="40" w:after="40"/>
      </w:pPr>
      <w:r>
        <w:rPr>
          <w:rFonts w:ascii="Calibri" w:cs="Calibri" w:eastAsia="Calibri" w:hAnsi="Calibri"/>
          <w:color w:val="555555"/>
          <w:sz w:val="20"/>
          <w:szCs w:val="20"/>
        </w:rPr>
        <w:t xml:space="preserve">Owned development and enforcement of enterprise data policies including data classification, quality standards, access controls, validation requirements, and audit trail documentation—partnered with Quality Assurance, Compliance, and IT teams</w:t>
      </w:r>
    </w:p>
    <w:p>
      <w:pPr>
        <w:pStyle w:val="ListParagraph"/>
        <w:numPr>
          <w:ilvl w:val="0"/>
          <w:numId w:val="2"/>
        </w:numPr>
        <w:spacing w:before="40" w:after="40"/>
      </w:pPr>
      <w:r>
        <w:rPr>
          <w:rFonts w:ascii="Calibri" w:cs="Calibri" w:eastAsia="Calibri" w:hAnsi="Calibri"/>
          <w:color w:val="555555"/>
          <w:sz w:val="20"/>
          <w:szCs w:val="20"/>
        </w:rPr>
        <w:t xml:space="preserve">Served as executive owner for Spotfire platform governance—established clear roles, responsibilities, and accountability for data management including stewardship, user access, change management, and compliance oversight</w:t>
      </w:r>
    </w:p>
    <w:p>
      <w:pPr>
        <w:pStyle w:val="ListParagraph"/>
        <w:numPr>
          <w:ilvl w:val="0"/>
          <w:numId w:val="2"/>
        </w:numPr>
        <w:spacing w:before="40" w:after="40"/>
      </w:pPr>
      <w:r>
        <w:rPr>
          <w:rFonts w:ascii="Calibri" w:cs="Calibri" w:eastAsia="Calibri" w:hAnsi="Calibri"/>
          <w:color w:val="555555"/>
          <w:sz w:val="20"/>
          <w:szCs w:val="20"/>
        </w:rPr>
        <w:t xml:space="preserve">Implemented governance controls supporting SOX-like internal controls and audit requirements—provided transparent reporting on validation status, change management, and data integrity to senior leadership and quality teams</w:t>
      </w:r>
    </w:p>
    <w:p>
      <w:pPr>
        <w:pStyle w:val="ListParagraph"/>
        <w:numPr>
          <w:ilvl w:val="0"/>
          <w:numId w:val="2"/>
        </w:numPr>
        <w:spacing w:before="40" w:after="40"/>
      </w:pPr>
      <w:r>
        <w:rPr>
          <w:rFonts w:ascii="Calibri" w:cs="Calibri" w:eastAsia="Calibri" w:hAnsi="Calibri"/>
          <w:color w:val="555555"/>
          <w:sz w:val="20"/>
          <w:szCs w:val="20"/>
        </w:rPr>
        <w:t xml:space="preserve">Established governance for ML model deployment including policies for model validation, version control, performance monitoring, and documentation—ensured models met regulatory standards and audit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Implemented data governance frameworks and AI governance policies for production ML systems across client engagements—established standards for model documentation, data quality, access controls, and compliance</w:t>
      </w:r>
    </w:p>
    <w:p>
      <w:pPr>
        <w:pStyle w:val="ListParagraph"/>
        <w:numPr>
          <w:ilvl w:val="0"/>
          <w:numId w:val="2"/>
        </w:numPr>
        <w:spacing w:before="40" w:after="40"/>
      </w:pPr>
      <w:r>
        <w:rPr>
          <w:rFonts w:ascii="Calibri" w:cs="Calibri" w:eastAsia="Calibri" w:hAnsi="Calibri"/>
          <w:color w:val="555555"/>
          <w:sz w:val="20"/>
          <w:szCs w:val="20"/>
        </w:rPr>
        <w:t xml:space="preserve">Built governance controls for RAG system including policies for data sourcing, usage restrictions, prompt logging, output validation, and documentation of model behavior and limitations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Implemented data governance and quality standards for biopharmaceutical manufacturing data—established policies for data validation, lineage tracking, audit trails, metadata management, and quality controls supporting GxP compliance and regulatory submissions</w:t>
      </w:r>
    </w:p>
    <w:p>
      <w:pPr>
        <w:pStyle w:val="ListParagraph"/>
        <w:numPr>
          <w:ilvl w:val="0"/>
          <w:numId w:val="2"/>
        </w:numPr>
        <w:spacing w:before="40" w:after="40"/>
      </w:pPr>
      <w:r>
        <w:rPr>
          <w:rFonts w:ascii="Calibri" w:cs="Calibri" w:eastAsia="Calibri" w:hAnsi="Calibri"/>
          <w:color w:val="555555"/>
          <w:sz w:val="20"/>
          <w:szCs w:val="20"/>
        </w:rPr>
        <w:t xml:space="preserve">Partnered with Quality Assurance, Regulatory Affairs, and Compliance teams to ensure data management practices met FDA regulatory requirements and internal audit standards</w:t>
      </w:r>
    </w:p>
    <w:p>
      <w:pPr>
        <w:pStyle w:val="ListParagraph"/>
        <w:numPr>
          <w:ilvl w:val="0"/>
          <w:numId w:val="2"/>
        </w:numPr>
        <w:spacing w:before="40" w:after="40"/>
      </w:pPr>
      <w:r>
        <w:rPr>
          <w:rFonts w:ascii="Calibri" w:cs="Calibri" w:eastAsia="Calibri" w:hAnsi="Calibri"/>
          <w:color w:val="555555"/>
          <w:sz w:val="20"/>
          <w:szCs w:val="20"/>
        </w:rPr>
        <w:t xml:space="preserve">Developed governance standards and documentation for predictive models in regulated manufacturing environment including validation protocols, change control procedures, and performance monitoring supporting regulatory inspections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Data Governance Leadership: </w:t>
      </w:r>
      <w:r>
        <w:rPr>
          <w:rFonts w:ascii="Calibri" w:cs="Calibri" w:eastAsia="Calibri" w:hAnsi="Calibri"/>
          <w:color w:val="555555"/>
          <w:sz w:val="20"/>
          <w:szCs w:val="20"/>
        </w:rPr>
        <w:t xml:space="preserve">Enterprise Governance Strategy  •  Data Policies &amp; Standards  •  Operating Model Design  •  Governance Frameworks  •  Risk Management  •  Regulatory Compliance  •  Audit Readiness  •  Executive Advisory</w:t>
      </w:r>
    </w:p>
    <w:p>
      <w:pPr>
        <w:spacing w:before="100" w:after="40"/>
      </w:pPr>
      <w:r>
        <w:rPr>
          <w:rFonts w:ascii="Calibri" w:cs="Calibri" w:eastAsia="Calibri" w:hAnsi="Calibri"/>
          <w:b/>
          <w:bCs/>
          <w:color w:val="000000"/>
          <w:sz w:val="20"/>
          <w:szCs w:val="20"/>
        </w:rPr>
        <w:t xml:space="preserve">Governance Operating Models: </w:t>
      </w:r>
      <w:r>
        <w:rPr>
          <w:rFonts w:ascii="Calibri" w:cs="Calibri" w:eastAsia="Calibri" w:hAnsi="Calibri"/>
          <w:color w:val="555555"/>
          <w:sz w:val="20"/>
          <w:szCs w:val="20"/>
        </w:rPr>
        <w:t xml:space="preserve">Data Stewardship Programs  •  Governance Council Leadership  •  Cross-Functional Program Leadership  •  Accountability Frameworks  •  Maturity Assessments  •  Training &amp; Enablement  •  Change Management</w:t>
      </w:r>
    </w:p>
    <w:p>
      <w:pPr>
        <w:spacing w:before="100" w:after="40"/>
      </w:pPr>
      <w:r>
        <w:rPr>
          <w:rFonts w:ascii="Calibri" w:cs="Calibri" w:eastAsia="Calibri" w:hAnsi="Calibri"/>
          <w:b/>
          <w:bCs/>
          <w:color w:val="000000"/>
          <w:sz w:val="20"/>
          <w:szCs w:val="20"/>
        </w:rPr>
        <w:t xml:space="preserve">Data Management &amp; Compliance: </w:t>
      </w:r>
      <w:r>
        <w:rPr>
          <w:rFonts w:ascii="Calibri" w:cs="Calibri" w:eastAsia="Calibri" w:hAnsi="Calibri"/>
          <w:color w:val="555555"/>
          <w:sz w:val="20"/>
          <w:szCs w:val="20"/>
        </w:rPr>
        <w:t xml:space="preserve">Data Quality Standards  •  Data Classification  •  Metadata Management  •  Data Lineage  •  Data Catalogs  •  Access Controls  •  Compliance Metrics  •  KPI Dashboards</w:t>
      </w:r>
    </w:p>
    <w:p>
      <w:pPr>
        <w:spacing w:before="100" w:after="40"/>
      </w:pPr>
      <w:r>
        <w:rPr>
          <w:rFonts w:ascii="Calibri" w:cs="Calibri" w:eastAsia="Calibri" w:hAnsi="Calibri"/>
          <w:b/>
          <w:bCs/>
          <w:color w:val="000000"/>
          <w:sz w:val="20"/>
          <w:szCs w:val="20"/>
        </w:rPr>
        <w:t xml:space="preserve">Regulatory &amp; Audit Compliance: </w:t>
      </w:r>
      <w:r>
        <w:rPr>
          <w:rFonts w:ascii="Calibri" w:cs="Calibri" w:eastAsia="Calibri" w:hAnsi="Calibri"/>
          <w:color w:val="555555"/>
          <w:sz w:val="20"/>
          <w:szCs w:val="20"/>
        </w:rPr>
        <w:t xml:space="preserve">FDA Regulations  •  21 CFR Part 11  •  GxP (GMP/GLP)  •  HIPAA Compliance  •  Healthcare Privacy  •  Internal Audit  •  SOX (Awareness)  •  Regulatory Inspections</w:t>
      </w:r>
    </w:p>
    <w:p>
      <w:pPr>
        <w:spacing w:before="100" w:after="40"/>
      </w:pPr>
      <w:r>
        <w:rPr>
          <w:rFonts w:ascii="Calibri" w:cs="Calibri" w:eastAsia="Calibri" w:hAnsi="Calibri"/>
          <w:b/>
          <w:bCs/>
          <w:color w:val="000000"/>
          <w:sz w:val="20"/>
          <w:szCs w:val="20"/>
        </w:rPr>
        <w:t xml:space="preserve">AI &amp; Advanced Analytics Governance: </w:t>
      </w:r>
      <w:r>
        <w:rPr>
          <w:rFonts w:ascii="Calibri" w:cs="Calibri" w:eastAsia="Calibri" w:hAnsi="Calibri"/>
          <w:color w:val="555555"/>
          <w:sz w:val="20"/>
          <w:szCs w:val="20"/>
        </w:rPr>
        <w:t xml:space="preserve">AI Governance Frameworks  •  Model Validation &amp; Testing  •  Bias Detection  •  LLM/GenAI Governance  •  Agent-based Systems (Awareness)  •  Model Risk Management  •  Responsible AI Policies</w:t>
      </w:r>
    </w:p>
    <w:p>
      <w:pPr>
        <w:spacing w:before="100" w:after="40"/>
      </w:pPr>
      <w:r>
        <w:rPr>
          <w:rFonts w:ascii="Calibri" w:cs="Calibri" w:eastAsia="Calibri" w:hAnsi="Calibri"/>
          <w:b/>
          <w:bCs/>
          <w:color w:val="000000"/>
          <w:sz w:val="20"/>
          <w:szCs w:val="20"/>
        </w:rPr>
        <w:t xml:space="preserve">Technical &amp; Platform: </w:t>
      </w:r>
      <w:r>
        <w:rPr>
          <w:rFonts w:ascii="Calibri" w:cs="Calibri" w:eastAsia="Calibri" w:hAnsi="Calibri"/>
          <w:color w:val="555555"/>
          <w:sz w:val="20"/>
          <w:szCs w:val="20"/>
        </w:rPr>
        <w:t xml:space="preserve">Data Platforms (Snowflake, Databricks)  •  Cloud Infrastructure (AWS)  •  Data Pipelines  •  Python  •  SQL  •  Metadata Tools  •  Data Observability (Awareness)  •  Governance-as-code (Awareness)</w:t>
      </w:r>
    </w:p>
    <w:p>
      <w:pPr>
        <w:spacing w:before="100" w:after="40"/>
      </w:pPr>
      <w:r>
        <w:rPr>
          <w:rFonts w:ascii="Calibri" w:cs="Calibri" w:eastAsia="Calibri" w:hAnsi="Calibri"/>
          <w:b/>
          <w:bCs/>
          <w:color w:val="000000"/>
          <w:sz w:val="20"/>
          <w:szCs w:val="20"/>
        </w:rPr>
        <w:t xml:space="preserve">Leadership &amp; Stakeholder Management: </w:t>
      </w:r>
      <w:r>
        <w:rPr>
          <w:rFonts w:ascii="Calibri" w:cs="Calibri" w:eastAsia="Calibri" w:hAnsi="Calibri"/>
          <w:color w:val="555555"/>
          <w:sz w:val="20"/>
          <w:szCs w:val="20"/>
        </w:rPr>
        <w:t xml:space="preserve">Executive Communication  •  Stakeholder Management  •  Cross-Functional Leadership  •  Team Building  •  Budget Management  •  Strategic Planning  •  Organizational Development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2026-02-03T16:09:49.144Z</dcterms:created>
  <dcterms:modified xsi:type="dcterms:W3CDTF">2026-02-03T16:09:49.144Z</dcterms:modified>
</cp:coreProperties>
</file>

<file path=docProps/custom.xml><?xml version="1.0" encoding="utf-8"?>
<Properties xmlns="http://schemas.openxmlformats.org/officeDocument/2006/custom-properties" xmlns:vt="http://schemas.openxmlformats.org/officeDocument/2006/docPropsVTypes"/>
</file>