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SmarterDx</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Data Science</w:t>
      </w:r>
    </w:p>
    <w:p>
      <w:pPr>
        <w:spacing w:before="200" w:after="200"/>
      </w:pPr>
      <w:r>
        <w:rPr>
          <w:rFonts w:ascii="Calibri" w:cs="Calibri" w:eastAsia="Calibri" w:hAnsi="Calibri"/>
          <w:color w:val="555555"/>
          <w:sz w:val="22"/>
          <w:szCs w:val="22"/>
        </w:rPr>
        <w:t xml:space="preserve">I am writing to express my strong interest in the Director of Data Science position at SmarterDx. With a PhD in Mathematics and over 10 years of experience building and deploying production machine learning systems in healthcare and pharmaceutical organizations, combined with proven people leadership and deep expertise in ML fundamentals, I am excited about the opportunity to own the direction and impact of data science across SmarterDx's Clinical AI platform.</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I have owned end-to-end machine learning systems from problem framing through production deployment, monitoring, and iteration. At Redica Systems, I architected and deployed a production LLM classifier processing unstructured healthcare regulatory text-I owned the complete system from data strategy and model design through validation frameworks, bias testing, deployment, and ongoing monitoring. At Takeda, I led data science teams building production ML systems for quality risk detection and process optimization, setting technical direction and standards including model validation, version control, and performance monitoring. At Regeneron, I developed ML systems that drove measurable business impact including 80% reduction in manual effort, improved manufacturing yields, and reduced batch failures. My tech stack aligns directly with SmarterDx: Python, SQL, PyTorch (used for RAG system development), AWS SageMaker ecosystem (via Databricks), and Snowflake.</w:t>
      </w:r>
    </w:p>
    <w:p>
      <w:pPr>
        <w:spacing w:before="200" w:after="200"/>
      </w:pPr>
      <w:r>
        <w:rPr>
          <w:rFonts w:ascii="Calibri" w:cs="Calibri" w:eastAsia="Calibri" w:hAnsi="Calibri"/>
          <w:color w:val="555555"/>
          <w:sz w:val="22"/>
          <w:szCs w:val="22"/>
        </w:rPr>
        <w:t xml:space="preserve">I have proven experience leading and scaling data science organizations. At Gilead, I led a team of ~5 analysts and developers-I owned hiring, onboarding, talent development, and built clear career paths and expectations. I translated Medical Affairs business objectives into a prioritized roadmap balancing near-term delivery (dashboard releases, data quality) with longer-term platform investments (data lake architecture, governance frameworks). I partnered closely with Product, IT, Medical Affairs leadership, and cross-functional stakeholders embedding analytics into strategic decision-making and operational workflows. I influenced executive stakeholders on data strategy and capability investments, representing data science in planning forums and communicating tradeoffs, risks, and impact. I have deep understanding of model evaluation, monitoring, and real-world feedback loops-I implemented continuous performance tracking, established retraining triggers, and iterated based on operational outcomes and quality metrics.</w:t>
      </w:r>
    </w:p>
    <w:p>
      <w:pPr>
        <w:spacing w:before="200" w:after="200"/>
      </w:pPr>
      <w:r>
        <w:rPr>
          <w:rFonts w:ascii="Calibri" w:cs="Calibri" w:eastAsia="Calibri" w:hAnsi="Calibri"/>
          <w:color w:val="555555"/>
          <w:sz w:val="22"/>
          <w:szCs w:val="22"/>
        </w:rPr>
        <w:t xml:space="preserve">My healthcare background spans pharmaceutical and biotech organizations where I championed responsible, interpretable AI appropriate for regulated environments. I implemented comprehensive model validation, bias testing, explainability approaches, and audit trails ensuring models met regulatory standards and real-world deployment requirements in FDA-regulated settings. I have experience with NLP and unstructured text through my LLM classifier work and RAG system development using PyTorch and HuggingFace. While my healthcare experience has been in pharmaceutical manufacturing and quality operations rather than clinical workflows or hospital revenue cycle specifically, I have consistently demonstrated the ability to understand complex operational environments, partner with domain experts, and build ML systems that stakeholders depend on. I excel at connecting technical work to business outcomes-my ML systems have delivered measurable ROI through cost savings, efficiency improvements, and risk reduction. I have exceptional communication skills translating complex ML concepts for non-technical audiences including executives, quality leaders, and operational stakeholders. My strong judgment in balancing speed, rigor, and long-term scalability has enabled me to deliver production ML systems in fast-paced environments while maintaining quality standards appropriate for healthcare applications.</w:t>
      </w:r>
    </w:p>
    <w:p>
      <w:pPr>
        <w:spacing w:before="200" w:after="400"/>
      </w:pPr>
      <w:r>
        <w:rPr>
          <w:rFonts w:ascii="Calibri" w:cs="Calibri" w:eastAsia="Calibri" w:hAnsi="Calibri"/>
          <w:color w:val="555555"/>
          <w:sz w:val="22"/>
          <w:szCs w:val="22"/>
        </w:rPr>
        <w:t xml:space="preserve">I would welcome the opportunity to discuss how my experience building production ML systems in healthcare environments can contribute to SmarterDx's Clinical AI platform and company growth.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2026-02-03T16:09:52.418Z</dcterms:created>
  <dcterms:modified xsi:type="dcterms:W3CDTF">2026-02-03T16:09:52.418Z</dcterms:modified>
</cp:coreProperties>
</file>

<file path=docProps/custom.xml><?xml version="1.0" encoding="utf-8"?>
<Properties xmlns="http://schemas.openxmlformats.org/officeDocument/2006/custom-properties" xmlns:vt="http://schemas.openxmlformats.org/officeDocument/2006/docPropsVTypes"/>
</file>