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January 31,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ActBlue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Director of Engineering, Data Science &amp; Engineering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interest in the Director of Engineering role leading ActBlue's Data Science &amp; Engineering department. The opportunity to build and scale the data infrastructure, teams, and culture that power a mission-driven organization - translating data into a strategic advantage at a moment when grassroots civic engagement has never mattered more - is exactly the kind of work I want to be doing.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My background is built on doing the core work this role requires: taking data functions from fragmented, ad hoc states and transforming them into trusted, scalable, organization-wide capabilities. At Gilead Sciences, I built a centralized data lake from scratch, established the governance and ownership frameworks that made data trustworthy across the organization, and hired and developed the analytics team. At Redica Systems, I designed a unified data architecture to harmonize data from multiple external sources and built production risk-scoring models end-to-end. Through my consulting practice, I have deployed production ML models with ongoing feature engineering, monitoring, and retraining - the full lifecycle that ActBlue's ML infrastructure needs to support. Across all of these roles, I have partnered closely with engineering on infrastructure decisions, driven data adoption with non-technical stakeholders, and ensured that data capabilities directly served business outcomes rather than existing in isolation.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drawn to ActBlue's mission and the operational intensity it demands. The deadline-driven nature of political fundraising - where data systems need to be reliable, responsive, and scalable precisely when stakes are highest - mirrors the kind of high-pressure, high-impact environments I have thrived in. I understand what it means to build systems that others depend on, and I understand what it means to lead teams through moments where the work genuinely matters. I would welcome the opportunity to discuss how my experience in data engineering leadership, production ML systems, and enterprise data transformation can contribute to ActBlue's next phase of growth.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Thank you for your time and consideration. I look forward to the possibility of continuing this conversation.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2026-02-01T19:06:09.740Z</dcterms:created>
  <dcterms:modified xsi:type="dcterms:W3CDTF">2026-02-01T19:06:09.740Z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