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January 31,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Apogee Therapeutics</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Data Engineering &amp; Analytics</w:t>
      </w:r>
    </w:p>
    <w:p>
      <w:pPr>
        <w:spacing w:before="200" w:after="200"/>
      </w:pPr>
      <w:r>
        <w:rPr>
          <w:rFonts w:ascii="Calibri" w:cs="Calibri" w:eastAsia="Calibri" w:hAnsi="Calibri"/>
          <w:color w:val="555555"/>
          <w:sz w:val="22"/>
          <w:szCs w:val="22"/>
        </w:rPr>
        <w:t xml:space="preserve">I am excited to apply for the Director, Data Engineering &amp; Analytics role at Apogee Therapeutics. The opportunity to build a Data Lakehouse from the ground up at a fast-moving clinical-stage biotech - owning the architecture, pipelines, governance, and analytics end-to-end while partnering closely with clinical and operational teams - is precisely the kind of hands-on, high-impact work I have built my career around.</w:t>
      </w:r>
    </w:p>
    <w:p>
      <w:pPr>
        <w:spacing w:before="200" w:after="200"/>
      </w:pPr>
      <w:r>
        <w:rPr>
          <w:rFonts w:ascii="Calibri" w:cs="Calibri" w:eastAsia="Calibri" w:hAnsi="Calibri"/>
          <w:color w:val="555555"/>
          <w:sz w:val="22"/>
          <w:szCs w:val="22"/>
        </w:rPr>
        <w:t xml:space="preserve">My background maps directly to what this role requires. I have spent over a decade in the pharmaceutical and life sciences industry, repeatedly taking ownership of data infrastructure and analytics capabilities from greenfield or near-greenfield starting points. At Gilead Sciences, I built the organization's centralized data lake, established data governance and metric-definition frameworks, and designed the ingestion and transformation pipelines that supported analytics across Medical Affairs. At Takeda, I led the digital and data science function, partnering with IT and engineering on tooling implementation and serving as the system administrator for the organization's primary analytics platform. At Redica Systems, I designed a reference data architecture to harmonize data from multiple pharmaceutical clients and external sources, solving complex integration and quality challenges hands-on while defining the broader data strategy.</w:t>
      </w:r>
    </w:p>
    <w:p>
      <w:pPr>
        <w:spacing w:before="200" w:after="200"/>
      </w:pPr>
      <w:r>
        <w:rPr>
          <w:rFonts w:ascii="Calibri" w:cs="Calibri" w:eastAsia="Calibri" w:hAnsi="Calibri"/>
          <w:color w:val="555555"/>
          <w:sz w:val="22"/>
          <w:szCs w:val="22"/>
        </w:rPr>
        <w:t xml:space="preserve">I am comfortable operating as a hands-on individual contributor who also thinks strategically about platform architecture and organizational capability. At each of my roles, I have personally written the pipelines, built the models, and designed the data models - not just directed others to do so. I have also consistently served as the bridge between technical teams and business stakeholders, translating clinical and operational questions into data solutions and communicating results in terms that drive decisions. The phased, IC-first structure of this role at Apogee - with eventual team growth - is a model I have thrived in before, and I am eager to bring that approach to a company moving as quickly as Apogee is.</w:t>
      </w:r>
    </w:p>
    <w:p>
      <w:pPr>
        <w:spacing w:before="200" w:after="200"/>
      </w:pPr>
      <w:r>
        <w:rPr>
          <w:rFonts w:ascii="Calibri" w:cs="Calibri" w:eastAsia="Calibri" w:hAnsi="Calibri"/>
          <w:color w:val="555555"/>
          <w:sz w:val="22"/>
          <w:szCs w:val="22"/>
        </w:rPr>
        <w:t xml:space="preserve">Apogee's focus on building a culture where people can shape the organization, take on broad responsibility, and grow professionally resonates strongly with how I like to work. I would welcome the opportunity to discuss how my experience in pharma data engineering, platform architecture, and cross-functional analytics leadership can contribute to building Apogee's data foundation.</w:t>
      </w:r>
    </w:p>
    <w:p>
      <w:pPr>
        <w:spacing w:before="200" w:after="400"/>
      </w:pPr>
      <w:r>
        <w:rPr>
          <w:rFonts w:ascii="Calibri" w:cs="Calibri" w:eastAsia="Calibri" w:hAnsi="Calibri"/>
          <w:color w:val="555555"/>
          <w:sz w:val="22"/>
          <w:szCs w:val="22"/>
        </w:rPr>
        <w:t xml:space="preserve">Thank you for your time and consideration. I look forward to the possibility of discussing this role and Apogee's data platform vision in more detail.</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2026-02-01T19:06:13.271Z</dcterms:created>
  <dcterms:modified xsi:type="dcterms:W3CDTF">2026-02-01T19:06:13.271Z</dcterms:modified>
</cp:coreProperties>
</file>

<file path=docProps/custom.xml><?xml version="1.0" encoding="utf-8"?>
<Properties xmlns="http://schemas.openxmlformats.org/officeDocument/2006/custom-properties" xmlns:vt="http://schemas.openxmlformats.org/officeDocument/2006/docPropsVTypes"/>
</file>