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January 31,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Incyte</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Machine Learning Engineer</w:t>
      </w:r>
    </w:p>
    <w:p>
      <w:pPr>
        <w:spacing w:before="200" w:after="200"/>
      </w:pPr>
      <w:r>
        <w:rPr>
          <w:rFonts w:ascii="Calibri" w:cs="Calibri" w:eastAsia="Calibri" w:hAnsi="Calibri"/>
          <w:color w:val="555555"/>
          <w:sz w:val="22"/>
          <w:szCs w:val="22"/>
        </w:rPr>
        <w:t xml:space="preserve">I am writing to express my interest in the Machine Learning Engineer role within Incyte's AI Innovations Institute. The opportunity to design and deploy LLM-based AI agents in a pharmaceutical setting - applying the latest in generative AI to real operational challenges across research, clinical operations, and commercial functions - is work I have been doing hands-on and am eager to continue at a larger scale.</w:t>
      </w:r>
    </w:p>
    <w:p>
      <w:pPr>
        <w:spacing w:before="200" w:after="200"/>
      </w:pPr>
      <w:r>
        <w:rPr>
          <w:rFonts w:ascii="Calibri" w:cs="Calibri" w:eastAsia="Calibri" w:hAnsi="Calibri"/>
          <w:color w:val="555555"/>
          <w:sz w:val="22"/>
          <w:szCs w:val="22"/>
        </w:rPr>
        <w:t xml:space="preserve">My most directly relevant experience is the LLM-based classification system I built at Redica Systems. I designed and developed a production model that uses the OpenAI API to read unstructured FDA Form 483 documents, assign severity levels, and apply weighted topic classifications - then worked closely with the data engineering team to validate the model's performance through confusion matrix analysis and accuracy benchmarking before it was deployed across the platform. That project required the full range of skills this role asks for: understanding how to prompt and structure LLM-based pipelines, designing classification architectures for unstructured text, and collaborating with engineering to ensure the model performed reliably in production. Beyond LLM work, I have built predictive models using scikit-learn, TensorFlow, and PyTorch across multiple industries, and I have spent over a decade applying ML to problems in the pharmaceutical space specifically. More recently, I built a RAG pipeline from scratch for a tax-tech startup using HuggingFace and PyTorch - ingesting a large corpus of government documents and building the retrieval and generation system end-to-end - which gave me hands-on experience with the document-grounded AI architecture that is increasingly central to enterprise AI agent development.</w:t>
      </w:r>
    </w:p>
    <w:p>
      <w:pPr>
        <w:spacing w:before="200" w:after="200"/>
      </w:pPr>
      <w:r>
        <w:rPr>
          <w:rFonts w:ascii="Calibri" w:cs="Calibri" w:eastAsia="Calibri" w:hAnsi="Calibri"/>
          <w:color w:val="555555"/>
          <w:sz w:val="22"/>
          <w:szCs w:val="22"/>
        </w:rPr>
        <w:t xml:space="preserve">I am drawn to Incyte's AI Innovations Institute because it represents exactly the kind of environment where applied ML can have outsized impact. Pharmaceutical companies generate enormous amounts of data - clinical, regulatory, commercial - and the gap between that data and actionable intelligence is where the most interesting ML problems live. I have spent my career working in that gap, and I am excited by the opportunity to tackle it at a company as focused on innovation as Incyte. I would welcome the chance to discuss how my experience in LLM development, RAG systems, pharmaceutical domain expertise, and applied ML can contribute to the Institute's work.</w:t>
      </w:r>
    </w:p>
    <w:p>
      <w:pPr>
        <w:spacing w:before="200" w:after="400"/>
      </w:pPr>
      <w:r>
        <w:rPr>
          <w:rFonts w:ascii="Calibri" w:cs="Calibri" w:eastAsia="Calibri" w:hAnsi="Calibri"/>
          <w:color w:val="555555"/>
          <w:sz w:val="22"/>
          <w:szCs w:val="22"/>
        </w:rPr>
        <w:t xml:space="preserve">Thank you for your time and consideration. I look forward to the possibility of discussing this role further.</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2026-02-01T19:06:19.513Z</dcterms:created>
  <dcterms:modified xsi:type="dcterms:W3CDTF">2026-02-01T19:06:19.513Z</dcterms:modified>
</cp:coreProperties>
</file>

<file path=docProps/custom.xml><?xml version="1.0" encoding="utf-8"?>
<Properties xmlns="http://schemas.openxmlformats.org/officeDocument/2006/custom-properties" xmlns:vt="http://schemas.openxmlformats.org/officeDocument/2006/docPropsVTypes"/>
</file>