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Enterprise Data Management &amp; Governance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and analytics leader with 10+ years of experience building enterprise data platforms, governance frameworks, and AI-ready infrastructure in highly regulated environments. Demonstrated success defining data strategy, establishing data quality and governance standards, and leading cross-functional teams to drive adoption of analytics capabilities at scale. Experienced in vendor management, product roadmap ownership, and translating complex regulatory and risk directives into automated, repeatable data workflows. Combines hands-on technical depth with the strategic leadership and stakeholder communication skills required to operate at the enterprise level.</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Served as enterprise data strategy leader for an FDA regulatory intelligence platform, defining the product roadmap and overseeing end-to-end delivery of data capabilities including risk scoring, metadata harmonization, and multi-source data integration.</w:t>
      </w:r>
    </w:p>
    <w:p>
      <w:pPr>
        <w:pStyle w:val="ListParagraph"/>
        <w:numPr>
          <w:ilvl w:val="0"/>
          <w:numId w:val="2"/>
        </w:numPr>
        <w:spacing w:before="40" w:after="40"/>
      </w:pPr>
      <w:r>
        <w:rPr>
          <w:rFonts w:ascii="Calibri" w:cs="Calibri" w:eastAsia="Calibri" w:hAnsi="Calibri"/>
          <w:color w:val="555555"/>
          <w:sz w:val="20"/>
          <w:szCs w:val="20"/>
        </w:rPr>
        <w:t xml:space="preserve">Designed and operationalized a reference data architecture to harmonize regulatory data from disparate client sources, establishing consistent data definitions, match logic, and quality standards across the platform.</w:t>
      </w:r>
    </w:p>
    <w:p>
      <w:pPr>
        <w:pStyle w:val="ListParagraph"/>
        <w:numPr>
          <w:ilvl w:val="0"/>
          <w:numId w:val="2"/>
        </w:numPr>
        <w:spacing w:before="40" w:after="40"/>
      </w:pPr>
      <w:r>
        <w:rPr>
          <w:rFonts w:ascii="Calibri" w:cs="Calibri" w:eastAsia="Calibri" w:hAnsi="Calibri"/>
          <w:color w:val="555555"/>
          <w:sz w:val="20"/>
          <w:szCs w:val="20"/>
        </w:rPr>
        <w:t xml:space="preserve">Built a production LLM classifier (OpenAI API) that processes unstructured FDA inspection text and assigns severity classifications and weighted topic categories; owned prompt engineering, validation framework, and coordinated deployment with data engineering.</w:t>
      </w:r>
    </w:p>
    <w:p>
      <w:pPr>
        <w:pStyle w:val="ListParagraph"/>
        <w:numPr>
          <w:ilvl w:val="0"/>
          <w:numId w:val="2"/>
        </w:numPr>
        <w:spacing w:before="40" w:after="40"/>
      </w:pPr>
      <w:r>
        <w:rPr>
          <w:rFonts w:ascii="Calibri" w:cs="Calibri" w:eastAsia="Calibri" w:hAnsi="Calibri"/>
          <w:color w:val="555555"/>
          <w:sz w:val="20"/>
          <w:szCs w:val="20"/>
        </w:rPr>
        <w:t xml:space="preserve">Developed Python-based risk scoring models from scratch using Snowflake as the core data platform, enabling clients to prioritize regulatory risk and benchmark against industry peers.</w:t>
      </w:r>
    </w:p>
    <w:p>
      <w:pPr>
        <w:pStyle w:val="ListParagraph"/>
        <w:numPr>
          <w:ilvl w:val="0"/>
          <w:numId w:val="2"/>
        </w:numPr>
        <w:spacing w:before="40" w:after="40"/>
      </w:pPr>
      <w:r>
        <w:rPr>
          <w:rFonts w:ascii="Calibri" w:cs="Calibri" w:eastAsia="Calibri" w:hAnsi="Calibri"/>
          <w:color w:val="555555"/>
          <w:sz w:val="20"/>
          <w:szCs w:val="20"/>
        </w:rPr>
        <w:t xml:space="preserve">Acted as primary client-facing analytics leader for enterprise accounts including Eli Lilly and Merck; presented data insights and product roadmap updates to senior stakeholders at CHPA, ISPE, and Redica-hosted webinars.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Founded and operate an independent analytics consulting practice delivering production ML and data platform solutions to clients across multiple industries.</w:t>
      </w:r>
    </w:p>
    <w:p>
      <w:pPr>
        <w:pStyle w:val="ListParagraph"/>
        <w:numPr>
          <w:ilvl w:val="0"/>
          <w:numId w:val="2"/>
        </w:numPr>
        <w:spacing w:before="40" w:after="40"/>
      </w:pPr>
      <w:r>
        <w:rPr>
          <w:rFonts w:ascii="Calibri" w:cs="Calibri" w:eastAsia="Calibri" w:hAnsi="Calibri"/>
          <w:color w:val="555555"/>
          <w:sz w:val="20"/>
          <w:szCs w:val="20"/>
        </w:rPr>
        <w:t xml:space="preserve">Built a production quote-fingerprinting random forest model for Paradigm (building supply software) using Databricks; model runs nightly and groups quotes into projects using text and numerical features, with direct stakeholder collaboration through VP of Product.</w:t>
      </w:r>
    </w:p>
    <w:p>
      <w:pPr>
        <w:pStyle w:val="ListParagraph"/>
        <w:numPr>
          <w:ilvl w:val="0"/>
          <w:numId w:val="2"/>
        </w:numPr>
        <w:spacing w:before="40" w:after="40"/>
      </w:pPr>
      <w:r>
        <w:rPr>
          <w:rFonts w:ascii="Calibri" w:cs="Calibri" w:eastAsia="Calibri" w:hAnsi="Calibri"/>
          <w:color w:val="555555"/>
          <w:sz w:val="20"/>
          <w:szCs w:val="20"/>
        </w:rPr>
        <w:t xml:space="preserve">Developed a RAG-based tax advisory system for Denari, ingesting IRS and state tax documents as a document corpus and building a Python pipeline using HuggingFace and PyTorch to generate filing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for the Medical Affairs organization, serving as a strategic advisor to senior leadership on data governance, platform consolidation, and analytics capability development.</w:t>
      </w:r>
    </w:p>
    <w:p>
      <w:pPr>
        <w:pStyle w:val="ListParagraph"/>
        <w:numPr>
          <w:ilvl w:val="0"/>
          <w:numId w:val="2"/>
        </w:numPr>
        <w:spacing w:before="40" w:after="40"/>
      </w:pPr>
      <w:r>
        <w:rPr>
          <w:rFonts w:ascii="Calibri" w:cs="Calibri" w:eastAsia="Calibri" w:hAnsi="Calibri"/>
          <w:color w:val="555555"/>
          <w:sz w:val="20"/>
          <w:szCs w:val="20"/>
        </w:rPr>
        <w:t xml:space="preserve">Built and led a centralized data lake as the single source of truth for healthcare professional (HCP) and healthcare organization (HCO) reference data, consolidating multi-source inputs with standardized governance and data quality controls.</w:t>
      </w:r>
    </w:p>
    <w:p>
      <w:pPr>
        <w:pStyle w:val="ListParagraph"/>
        <w:numPr>
          <w:ilvl w:val="0"/>
          <w:numId w:val="2"/>
        </w:numPr>
        <w:spacing w:before="40" w:after="40"/>
      </w:pPr>
      <w:r>
        <w:rPr>
          <w:rFonts w:ascii="Calibri" w:cs="Calibri" w:eastAsia="Calibri" w:hAnsi="Calibri"/>
          <w:color w:val="555555"/>
          <w:sz w:val="20"/>
          <w:szCs w:val="20"/>
        </w:rPr>
        <w:t xml:space="preserve">Established formal data governance frameworks for healthcare reference data, including written data requirements, lineage documentation, and data quality standards governing acquisition, cleansing, and standardization workflows.</w:t>
      </w:r>
    </w:p>
    <w:p>
      <w:pPr>
        <w:pStyle w:val="ListParagraph"/>
        <w:numPr>
          <w:ilvl w:val="0"/>
          <w:numId w:val="2"/>
        </w:numPr>
        <w:spacing w:before="40" w:after="40"/>
      </w:pPr>
      <w:r>
        <w:rPr>
          <w:rFonts w:ascii="Calibri" w:cs="Calibri" w:eastAsia="Calibri" w:hAnsi="Calibri"/>
          <w:color w:val="555555"/>
          <w:sz w:val="20"/>
          <w:szCs w:val="20"/>
        </w:rPr>
        <w:t xml:space="preserve">Managed vendors and internal teams responsible for data acquisition, identity resolution, and HCP/HCO profile standardization; oversaw SLAs, contract performance, and backlog prioritization across the data operations function.</w:t>
      </w:r>
    </w:p>
    <w:p>
      <w:pPr>
        <w:pStyle w:val="ListParagraph"/>
        <w:numPr>
          <w:ilvl w:val="0"/>
          <w:numId w:val="2"/>
        </w:numPr>
        <w:spacing w:before="40" w:after="40"/>
      </w:pPr>
      <w:r>
        <w:rPr>
          <w:rFonts w:ascii="Calibri" w:cs="Calibri" w:eastAsia="Calibri" w:hAnsi="Calibri"/>
          <w:color w:val="555555"/>
          <w:sz w:val="20"/>
          <w:szCs w:val="20"/>
        </w:rPr>
        <w:t xml:space="preserve">Led a team of ~5 analysts and dashboard developers; responsible for hiring, performance development, and cross-functional stakeholder engagement across Medical Affairs and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a digital and data science group and statistical monitoring group, overseeing development of predictive ML models and real-time digital dashboards for manufacturing and quality decision support.</w:t>
      </w:r>
    </w:p>
    <w:p>
      <w:pPr>
        <w:pStyle w:val="ListParagraph"/>
        <w:numPr>
          <w:ilvl w:val="0"/>
          <w:numId w:val="2"/>
        </w:numPr>
        <w:spacing w:before="40" w:after="40"/>
      </w:pPr>
      <w:r>
        <w:rPr>
          <w:rFonts w:ascii="Calibri" w:cs="Calibri" w:eastAsia="Calibri" w:hAnsi="Calibri"/>
          <w:color w:val="555555"/>
          <w:sz w:val="20"/>
          <w:szCs w:val="20"/>
        </w:rPr>
        <w:t xml:space="preserve">Established data requirements and governance standards for manufacturing analytics platforms, writing formal specifications and leading cross-functional reviews with Quality, Manufacturing, and IT stakeholders.</w:t>
      </w:r>
    </w:p>
    <w:p>
      <w:pPr>
        <w:pStyle w:val="ListParagraph"/>
        <w:numPr>
          <w:ilvl w:val="0"/>
          <w:numId w:val="2"/>
        </w:numPr>
        <w:spacing w:before="40" w:after="40"/>
      </w:pPr>
      <w:r>
        <w:rPr>
          <w:rFonts w:ascii="Calibri" w:cs="Calibri" w:eastAsia="Calibri" w:hAnsi="Calibri"/>
          <w:color w:val="555555"/>
          <w:sz w:val="20"/>
          <w:szCs w:val="20"/>
        </w:rPr>
        <w:t xml:space="preserve">Served as Spotfire platform administrator, managing tool governance, user access, and enterprise adoption across the data science organization.</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meetings, integrating data from multiple sources to support regulatory compliance and quality risk management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and deployed predictive models for biopharmaceutical manufacturing including automated limit calculations, feed quantity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Designed and maintained automated data pipelines for ingestion, cleansing, and transformation of manufacturing process data, enabling real-time monitoring and analytics at scale.</w:t>
      </w:r>
    </w:p>
    <w:p>
      <w:pPr>
        <w:pStyle w:val="ListParagraph"/>
        <w:numPr>
          <w:ilvl w:val="0"/>
          <w:numId w:val="2"/>
        </w:numPr>
        <w:spacing w:before="40" w:after="40"/>
      </w:pPr>
      <w:r>
        <w:rPr>
          <w:rFonts w:ascii="Calibri" w:cs="Calibri" w:eastAsia="Calibri" w:hAnsi="Calibri"/>
          <w:color w:val="555555"/>
          <w:sz w:val="20"/>
          <w:szCs w:val="20"/>
        </w:rPr>
        <w:t xml:space="preserve">Presented modeling results and data platform updates to senior leadership and cross-functional stakeholders; promoted organically from Data Scientist to Senior Data Scientist over five years.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focus on optimization and control methods; postdoctoral research at Mathematical Biosciences Institute (2014-2016)</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Governance &amp; Management: </w:t>
      </w:r>
      <w:r>
        <w:rPr>
          <w:rFonts w:ascii="Calibri" w:cs="Calibri" w:eastAsia="Calibri" w:hAnsi="Calibri"/>
          <w:color w:val="555555"/>
          <w:sz w:val="20"/>
          <w:szCs w:val="20"/>
        </w:rPr>
        <w:t xml:space="preserve">Data Governance Frameworks  •  Data Quality Standards  •  Metadata Management  •  Data Lineage  •  Reference Data Architecture  •  Data Requirements Documentation</w:t>
      </w:r>
    </w:p>
    <w:p>
      <w:pPr>
        <w:spacing w:before="100" w:after="40"/>
      </w:pPr>
      <w:r>
        <w:rPr>
          <w:rFonts w:ascii="Calibri" w:cs="Calibri" w:eastAsia="Calibri" w:hAnsi="Calibri"/>
          <w:b/>
          <w:bCs/>
          <w:color w:val="000000"/>
          <w:sz w:val="20"/>
          <w:szCs w:val="20"/>
        </w:rPr>
        <w:t xml:space="preserve">Cloud &amp; Data Platforms: </w:t>
      </w:r>
      <w:r>
        <w:rPr>
          <w:rFonts w:ascii="Calibri" w:cs="Calibri" w:eastAsia="Calibri" w:hAnsi="Calibri"/>
          <w:color w:val="555555"/>
          <w:sz w:val="20"/>
          <w:szCs w:val="20"/>
        </w:rPr>
        <w:t xml:space="preserve">Snowflake  •  Databricks  •  AWS  •  Supabase  •  Sigma</w:t>
      </w:r>
    </w:p>
    <w:p>
      <w:pPr>
        <w:spacing w:before="100" w:after="40"/>
      </w:pPr>
      <w:r>
        <w:rPr>
          <w:rFonts w:ascii="Calibri" w:cs="Calibri" w:eastAsia="Calibri" w:hAnsi="Calibri"/>
          <w:b/>
          <w:bCs/>
          <w:color w:val="000000"/>
          <w:sz w:val="20"/>
          <w:szCs w:val="20"/>
        </w:rPr>
        <w:t xml:space="preserve">AI, ML &amp; Analytics: </w:t>
      </w:r>
      <w:r>
        <w:rPr>
          <w:rFonts w:ascii="Calibri" w:cs="Calibri" w:eastAsia="Calibri" w:hAnsi="Calibri"/>
          <w:color w:val="555555"/>
          <w:sz w:val="20"/>
          <w:szCs w:val="20"/>
        </w:rPr>
        <w:t xml:space="preserve">LLM Classification (OpenAI API)  •  RAG Systems  •  Random Forest  •  Ensemble Models  •  PLS  •  PCA  •  Scikit-Learn  •  PyTorch  •  HuggingFace</w:t>
      </w:r>
    </w:p>
    <w:p>
      <w:pPr>
        <w:spacing w:before="100" w:after="40"/>
      </w:pPr>
      <w:r>
        <w:rPr>
          <w:rFonts w:ascii="Calibri" w:cs="Calibri" w:eastAsia="Calibri" w:hAnsi="Calibri"/>
          <w:b/>
          <w:bCs/>
          <w:color w:val="000000"/>
          <w:sz w:val="20"/>
          <w:szCs w:val="20"/>
        </w:rPr>
        <w:t xml:space="preserve">Programming: </w:t>
      </w:r>
      <w:r>
        <w:rPr>
          <w:rFonts w:ascii="Calibri" w:cs="Calibri" w:eastAsia="Calibri" w:hAnsi="Calibri"/>
          <w:color w:val="555555"/>
          <w:sz w:val="20"/>
          <w:szCs w:val="20"/>
        </w:rPr>
        <w:t xml:space="preserve">Python  •  SQL  •  JavaScript  •  React  •  Node.js</w:t>
      </w:r>
    </w:p>
    <w:p>
      <w:pPr>
        <w:spacing w:before="100" w:after="40"/>
      </w:pPr>
      <w:r>
        <w:rPr>
          <w:rFonts w:ascii="Calibri" w:cs="Calibri" w:eastAsia="Calibri" w:hAnsi="Calibri"/>
          <w:b/>
          <w:bCs/>
          <w:color w:val="000000"/>
          <w:sz w:val="20"/>
          <w:szCs w:val="20"/>
        </w:rPr>
        <w:t xml:space="preserve">Visualization &amp; BI: </w:t>
      </w:r>
      <w:r>
        <w:rPr>
          <w:rFonts w:ascii="Calibri" w:cs="Calibri" w:eastAsia="Calibri" w:hAnsi="Calibri"/>
          <w:color w:val="555555"/>
          <w:sz w:val="20"/>
          <w:szCs w:val="20"/>
        </w:rPr>
        <w:t xml:space="preserve">Spotfire  •  Sigma  •  Custom Python Visualization</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Product Roadmap Ownership  •  Team Management  •  Vendor Management  •  Stakeholder Engagement  •  Cross-Functional Collaboration  •  Regulatory Compliance (FDA, GxP)</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2026-02-21T18:56:02.428Z</dcterms:created>
  <dcterms:modified xsi:type="dcterms:W3CDTF">2026-02-21T18:56:02.428Z</dcterms:modified>
</cp:coreProperties>
</file>

<file path=docProps/custom.xml><?xml version="1.0" encoding="utf-8"?>
<Properties xmlns="http://schemas.openxmlformats.org/officeDocument/2006/custom-properties" xmlns:vt="http://schemas.openxmlformats.org/officeDocument/2006/docPropsVTypes"/>
</file>