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12,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Compliance Insights</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Regulatory Data Science and Analytics Consultant</w:t>
      </w:r>
    </w:p>
    <w:p>
      <w:pPr>
        <w:spacing w:before="200" w:after="200"/>
      </w:pPr>
      <w:r>
        <w:rPr>
          <w:rFonts w:ascii="Calibri" w:cs="Calibri" w:eastAsia="Calibri" w:hAnsi="Calibri"/>
          <w:color w:val="555555"/>
          <w:sz w:val="22"/>
          <w:szCs w:val="22"/>
        </w:rPr>
        <w:t xml:space="preserve">I enjoyed speaking with you about Compliance Insights' consulting model and the opportunity to serve your pharmaceutical and biotech clients. My background spans from doctoral research in biological systems modeling and optimization through more than a decade of applied data science in FDA-regulated pharmaceutical environments, and I believe that combination is well suited to the work your clients need.</w:t>
      </w:r>
    </w:p>
    <w:p>
      <w:pPr>
        <w:spacing w:before="200" w:after="200"/>
      </w:pPr>
      <w:r>
        <w:rPr>
          <w:rFonts w:ascii="Calibri" w:cs="Calibri" w:eastAsia="Calibri" w:hAnsi="Calibri"/>
          <w:color w:val="555555"/>
          <w:sz w:val="22"/>
          <w:szCs w:val="22"/>
        </w:rPr>
        <w:t xml:space="preserve">My career began with rigorous quantitative research - a PhD and postdoctoral fellowship focused on developing computational models of biological systems and applying multi-objective optimization methods to extract insights from complex, high-dimensional data. That foundation in life sciences and mathematical modeling has informed every stage of my industry career, from predictive modeling for biopharmaceutical manufacturing at Regeneron and Takeda to regulatory intelligence platforms at Redica Systems.</w:t>
      </w:r>
    </w:p>
    <w:p>
      <w:pPr>
        <w:spacing w:before="200" w:after="200"/>
      </w:pPr>
      <w:r>
        <w:rPr>
          <w:rFonts w:ascii="Calibri" w:cs="Calibri" w:eastAsia="Calibri" w:hAnsi="Calibri"/>
          <w:color w:val="555555"/>
          <w:sz w:val="22"/>
          <w:szCs w:val="22"/>
        </w:rPr>
        <w:t xml:space="preserve">Most recently at Redica Systems, I built a production LLM classifier that analyzes FDA Form 483 observations, automatically categorizing findings by severity and topic to enable risk-based prioritization for pharma clients including Eli Lilly, Merck, and ProQuality Network. I also developed risk-scoring models and regulatory intelligence dashboards, and presented at CHPA and ISPE on FDA enforcement trends and the impact of AI on regulated industries.</w:t>
      </w:r>
    </w:p>
    <w:p>
      <w:pPr>
        <w:spacing w:before="200" w:after="200"/>
      </w:pPr>
      <w:r>
        <w:rPr>
          <w:rFonts w:ascii="Calibri" w:cs="Calibri" w:eastAsia="Calibri" w:hAnsi="Calibri"/>
          <w:color w:val="555555"/>
          <w:sz w:val="22"/>
          <w:szCs w:val="22"/>
        </w:rPr>
        <w:t xml:space="preserve">As an independent consultant through Tidal Wave Analytics LLC, I have delivered end-to-end modeling projects across multiple industries, managing client relationships from requirements through production deployment. I am available immediately for 1099 engagements and am comfortable operating at whatever level your clients require - from discrete analytical projects to ongoing advisory relationships.</w:t>
      </w:r>
    </w:p>
    <w:p>
      <w:pPr>
        <w:spacing w:before="200" w:after="400"/>
      </w:pPr>
      <w:r>
        <w:rPr>
          <w:rFonts w:ascii="Calibri" w:cs="Calibri" w:eastAsia="Calibri" w:hAnsi="Calibri"/>
          <w:color w:val="555555"/>
          <w:sz w:val="22"/>
          <w:szCs w:val="22"/>
        </w:rPr>
        <w:t xml:space="preserve">I would welcome the opportunity to join Compliance Insights' consultant network. I am confident that my combination of life sciences domain depth, applied ML expertise, and pharma regulatory experience would deliver meaningful value to your clients. I look forward to discussing how we might work together.</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2026-02-17T13:59:33.330Z</dcterms:created>
  <dcterms:modified xsi:type="dcterms:W3CDTF">2026-02-17T13:59:33.330Z</dcterms:modified>
</cp:coreProperties>
</file>

<file path=docProps/custom.xml><?xml version="1.0" encoding="utf-8"?>
<Properties xmlns="http://schemas.openxmlformats.org/officeDocument/2006/custom-properties" xmlns:vt="http://schemas.openxmlformats.org/officeDocument/2006/docPropsVTypes"/>
</file>