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12,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Enzo</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Director, Data &amp; Analytics</w:t>
      </w:r>
    </w:p>
    <w:p>
      <w:pPr>
        <w:spacing w:before="200" w:after="200"/>
      </w:pPr>
      <w:r>
        <w:rPr>
          <w:rFonts w:ascii="Calibri" w:cs="Calibri" w:eastAsia="Calibri" w:hAnsi="Calibri"/>
          <w:color w:val="555555"/>
          <w:sz w:val="22"/>
          <w:szCs w:val="22"/>
        </w:rPr>
        <w:t xml:space="preserve">I'm writing to express my strong interest in the Director, Data &amp; Analytics role at Enzo. With over 10 years building analytics organizations in FDA-regulated biopharmaceutical environments, I've consistently helped growth-stage companies establish the data foundations, governance frameworks, and team capabilities needed to scale responsibly through critical milestones.</w:t>
      </w:r>
    </w:p>
    <w:p>
      <w:pPr>
        <w:spacing w:before="200" w:after="200"/>
      </w:pPr>
      <w:r>
        <w:rPr>
          <w:rFonts w:ascii="Calibri" w:cs="Calibri" w:eastAsia="Calibri" w:hAnsi="Calibri"/>
          <w:color w:val="555555"/>
          <w:sz w:val="22"/>
          <w:szCs w:val="22"/>
        </w:rPr>
        <w:t xml:space="preserve">At Gilead Sciences, I built and led a team of 5 analytics professionals supporting Medical Affairs, establishing enterprise data governance, consolidating multi-source healthcare reference data into a governed data lake, and delivering trusted analytics that informed strategic decisions. I defined the analytics roadmap, recruited and developed talent, managed vendor relationships, and served as a strategic advisor to senior leadership on platform investments. This experience directly mirrors what Enzo needs as it prepares for late-stage milestones and commercialization.</w:t>
      </w:r>
    </w:p>
    <w:p>
      <w:pPr>
        <w:spacing w:before="200" w:after="200"/>
      </w:pPr>
      <w:r>
        <w:rPr>
          <w:rFonts w:ascii="Calibri" w:cs="Calibri" w:eastAsia="Calibri" w:hAnsi="Calibri"/>
          <w:color w:val="555555"/>
          <w:sz w:val="22"/>
          <w:szCs w:val="22"/>
        </w:rPr>
        <w:t xml:space="preserve">Earlier at Takeda, I led the digital and data science organization, served as Spotfire system administrator, and established platform governance and delivery standards across manufacturing and quality analytics. I'm experienced translating complex business needs into clear analytics priorities, partnering with senior stakeholders who may not have deep technical backgrounds, and ensuring analytics solutions are scalable, secure, and well-governed. My background spans the full analytics lifecycle from strategy and governance to platform oversight and advanced analytics delivery.</w:t>
      </w:r>
    </w:p>
    <w:p>
      <w:pPr>
        <w:spacing w:before="200" w:after="200"/>
      </w:pPr>
      <w:r>
        <w:rPr>
          <w:rFonts w:ascii="Calibri" w:cs="Calibri" w:eastAsia="Calibri" w:hAnsi="Calibri"/>
          <w:color w:val="555555"/>
          <w:sz w:val="22"/>
          <w:szCs w:val="22"/>
        </w:rPr>
        <w:t xml:space="preserve">What excites me about Enzo is the opportunity to shape a modern analytics organization during a pivotal growth phase. Building teams, establishing quality standards, and creating career development frameworks for analytics talent are areas where I've consistently delivered impact. I understand the unique challenges of regulated biotech environments and know how to balance innovation with compliance, growth with governance, and technical excellence with business pragmatism.</w:t>
      </w:r>
    </w:p>
    <w:p>
      <w:pPr>
        <w:spacing w:before="200" w:after="400"/>
      </w:pPr>
      <w:r>
        <w:rPr>
          <w:rFonts w:ascii="Calibri" w:cs="Calibri" w:eastAsia="Calibri" w:hAnsi="Calibri"/>
          <w:color w:val="555555"/>
          <w:sz w:val="22"/>
          <w:szCs w:val="22"/>
        </w:rPr>
        <w:t xml:space="preserve">I'd welcome the opportunity to discuss how my experience building analytics organizations in regulated pharma environments can support Enzo's growth and commercialization objectives. Thank you for considering my application.</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2026-02-13T15:33:27.140Z</dcterms:created>
  <dcterms:modified xsi:type="dcterms:W3CDTF">2026-02-13T15:33:27.140Z</dcterms:modified>
</cp:coreProperties>
</file>

<file path=docProps/custom.xml><?xml version="1.0" encoding="utf-8"?>
<Properties xmlns="http://schemas.openxmlformats.org/officeDocument/2006/custom-properties" xmlns:vt="http://schemas.openxmlformats.org/officeDocument/2006/docPropsVTypes"/>
</file>