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Data &amp;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Analytics leader with 10+ years building data organizations in FDA-regulated biopharmaceutical environments. Proven track record establishing enterprise analytics strategy, data governance frameworks, and scalable platforms across Manufacturing, Medical Affairs, and Quality organizations. Experienced recruiting and developing high-performing analytics teams, defining roadmaps aligned to business growth, and partnering with senior stakeholders to deliver measurable impact. Deep expertise in regulated data environments, platform modernization, and translating complex analytics into actionable business insights.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Defined enterprise analytics strategy serving pharmaceutical clients including Eli Lilly, Merck, and ProQuality Network, translating regulatory intelligence needs into scalable data platform capabilities</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for FDA regulatory data, establishing validation frameworks and collaborating with engineering on deployment to ensure platform-wide accuracy</w:t>
      </w:r>
    </w:p>
    <w:p>
      <w:pPr>
        <w:pStyle w:val="ListParagraph"/>
        <w:numPr>
          <w:ilvl w:val="0"/>
          <w:numId w:val="2"/>
        </w:numPr>
        <w:spacing w:before="40" w:after="40"/>
      </w:pPr>
      <w:r>
        <w:rPr>
          <w:rFonts w:ascii="Calibri" w:cs="Calibri" w:eastAsia="Calibri" w:hAnsi="Calibri"/>
          <w:color w:val="555555"/>
          <w:sz w:val="20"/>
          <w:szCs w:val="20"/>
        </w:rPr>
        <w:t xml:space="preserve">Designed reference data architecture consolidating multi-source client data, including harmonization logic, data quality rules, and inference models for missing values across enterprise datasets</w:t>
      </w:r>
    </w:p>
    <w:p>
      <w:pPr>
        <w:pStyle w:val="ListParagraph"/>
        <w:numPr>
          <w:ilvl w:val="0"/>
          <w:numId w:val="2"/>
        </w:numPr>
        <w:spacing w:before="40" w:after="40"/>
      </w:pPr>
      <w:r>
        <w:rPr>
          <w:rFonts w:ascii="Calibri" w:cs="Calibri" w:eastAsia="Calibri" w:hAnsi="Calibri"/>
          <w:color w:val="555555"/>
          <w:sz w:val="20"/>
          <w:szCs w:val="20"/>
        </w:rPr>
        <w:t xml:space="preserve">Developed brand-specific analytics visualization library in Python enabling consistent, governed reporting across client organizations</w:t>
      </w:r>
    </w:p>
    <w:p>
      <w:pPr>
        <w:pStyle w:val="ListParagraph"/>
        <w:numPr>
          <w:ilvl w:val="0"/>
          <w:numId w:val="2"/>
        </w:numPr>
        <w:spacing w:before="40" w:after="40"/>
      </w:pPr>
      <w:r>
        <w:rPr>
          <w:rFonts w:ascii="Calibri" w:cs="Calibri" w:eastAsia="Calibri" w:hAnsi="Calibri"/>
          <w:color w:val="555555"/>
          <w:sz w:val="20"/>
          <w:szCs w:val="20"/>
        </w:rPr>
        <w:t xml:space="preserve">Presented analytics thought leadership at CHPA and ISPE conferences as solo presenter, authored regulatory intelligence content for international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Built and led team of 5 analytics professionals (Spotfire developers and analysts) managing HCP/HCO healthcare reference data operations and enterprise dashboard delivery</w:t>
      </w:r>
    </w:p>
    <w:p>
      <w:pPr>
        <w:pStyle w:val="ListParagraph"/>
        <w:numPr>
          <w:ilvl w:val="0"/>
          <w:numId w:val="2"/>
        </w:numPr>
        <w:spacing w:before="40" w:after="40"/>
      </w:pPr>
      <w:r>
        <w:rPr>
          <w:rFonts w:ascii="Calibri" w:cs="Calibri" w:eastAsia="Calibri" w:hAnsi="Calibri"/>
          <w:color w:val="555555"/>
          <w:sz w:val="20"/>
          <w:szCs w:val="20"/>
        </w:rPr>
        <w:t xml:space="preserve">Defined enterprise data and analytics strategy for Medical Affairs organization, serving as strategic advisor to senior leadership on platform investments and roadmap prioritization</w:t>
      </w:r>
    </w:p>
    <w:p>
      <w:pPr>
        <w:pStyle w:val="ListParagraph"/>
        <w:numPr>
          <w:ilvl w:val="0"/>
          <w:numId w:val="2"/>
        </w:numPr>
        <w:spacing w:before="40" w:after="40"/>
      </w:pPr>
      <w:r>
        <w:rPr>
          <w:rFonts w:ascii="Calibri" w:cs="Calibri" w:eastAsia="Calibri" w:hAnsi="Calibri"/>
          <w:color w:val="555555"/>
          <w:sz w:val="20"/>
          <w:szCs w:val="20"/>
        </w:rPr>
        <w:t xml:space="preserve">Established centralized data lake as single source of truth consolidating HCP/HCO data from multiple vendors and internal systems, implementing medallion architecture for data quality and governance</w:t>
      </w:r>
    </w:p>
    <w:p>
      <w:pPr>
        <w:pStyle w:val="ListParagraph"/>
        <w:numPr>
          <w:ilvl w:val="0"/>
          <w:numId w:val="2"/>
        </w:numPr>
        <w:spacing w:before="40" w:after="40"/>
      </w:pPr>
      <w:r>
        <w:rPr>
          <w:rFonts w:ascii="Calibri" w:cs="Calibri" w:eastAsia="Calibri" w:hAnsi="Calibri"/>
          <w:color w:val="555555"/>
          <w:sz w:val="20"/>
          <w:szCs w:val="20"/>
        </w:rPr>
        <w:t xml:space="preserve">Created formal data governance frameworks including data requirements documentation, quality standards, and validation protocols for healthcare reference data</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for data acquisition, cleansing, and standardization, ensuring secure and compliant access to sensitive healthcare professional data</w:t>
      </w:r>
    </w:p>
    <w:p>
      <w:pPr>
        <w:pStyle w:val="ListParagraph"/>
        <w:numPr>
          <w:ilvl w:val="0"/>
          <w:numId w:val="2"/>
        </w:numPr>
        <w:spacing w:before="40" w:after="40"/>
      </w:pPr>
      <w:r>
        <w:rPr>
          <w:rFonts w:ascii="Calibri" w:cs="Calibri" w:eastAsia="Calibri" w:hAnsi="Calibri"/>
          <w:color w:val="555555"/>
          <w:sz w:val="20"/>
          <w:szCs w:val="20"/>
        </w:rPr>
        <w:t xml:space="preserve">Recruited, mentored, and developed analytics talent, establishing career development frameworks and fostering high-performance team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organization plus statistical monitoring group, defining analytics strategy for manufacturing and quality decision support</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establishing platform governance, user access controls, and development standards across enterprise analytics environment</w:t>
      </w:r>
    </w:p>
    <w:p>
      <w:pPr>
        <w:pStyle w:val="ListParagraph"/>
        <w:numPr>
          <w:ilvl w:val="0"/>
          <w:numId w:val="2"/>
        </w:numPr>
        <w:spacing w:before="40" w:after="40"/>
      </w:pPr>
      <w:r>
        <w:rPr>
          <w:rFonts w:ascii="Calibri" w:cs="Calibri" w:eastAsia="Calibri" w:hAnsi="Calibri"/>
          <w:color w:val="555555"/>
          <w:sz w:val="20"/>
          <w:szCs w:val="20"/>
        </w:rPr>
        <w:t xml:space="preserve">Built predictive models using machine learning for manufacturing optimization and quality risk assessment, translating technical capabilities into business value</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process, partnering with senior manufacturing and quality leadership to deliver executive-level analytics and insights</w:t>
      </w:r>
    </w:p>
    <w:p>
      <w:pPr>
        <w:pStyle w:val="ListParagraph"/>
        <w:numPr>
          <w:ilvl w:val="0"/>
          <w:numId w:val="2"/>
        </w:numPr>
        <w:spacing w:before="40" w:after="40"/>
      </w:pPr>
      <w:r>
        <w:rPr>
          <w:rFonts w:ascii="Calibri" w:cs="Calibri" w:eastAsia="Calibri" w:hAnsi="Calibri"/>
          <w:color w:val="555555"/>
          <w:sz w:val="20"/>
          <w:szCs w:val="20"/>
        </w:rPr>
        <w:t xml:space="preserve">Designed real-time digital dashboards for process and quality monitoring, enabling self-service analytics consumption across operations teams</w:t>
      </w:r>
    </w:p>
    <w:p>
      <w:pPr>
        <w:pStyle w:val="ListParagraph"/>
        <w:numPr>
          <w:ilvl w:val="0"/>
          <w:numId w:val="2"/>
        </w:numPr>
        <w:spacing w:before="40" w:after="40"/>
      </w:pPr>
      <w:r>
        <w:rPr>
          <w:rFonts w:ascii="Calibri" w:cs="Calibri" w:eastAsia="Calibri" w:hAnsi="Calibri"/>
          <w:color w:val="555555"/>
          <w:sz w:val="20"/>
          <w:szCs w:val="20"/>
        </w:rPr>
        <w:t xml:space="preserve">Established data requirements and quality standards for manufacturing analytics, ensuring trusted data foundations for decision-making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predictive models for biopharmaceutical manufacturing including automated limit calculations, feed quantity optimization, and product quality forecasting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Developed automated data pipelines for ingestion, cleaning, and transformation of manufacturing process data, establishing scalable analytics infrastructure</w:t>
      </w:r>
    </w:p>
    <w:p>
      <w:pPr>
        <w:pStyle w:val="ListParagraph"/>
        <w:numPr>
          <w:ilvl w:val="0"/>
          <w:numId w:val="2"/>
        </w:numPr>
        <w:spacing w:before="40" w:after="40"/>
      </w:pPr>
      <w:r>
        <w:rPr>
          <w:rFonts w:ascii="Calibri" w:cs="Calibri" w:eastAsia="Calibri" w:hAnsi="Calibri"/>
          <w:color w:val="555555"/>
          <w:sz w:val="20"/>
          <w:szCs w:val="20"/>
        </w:rPr>
        <w:t xml:space="preserve">Presented technical analytics solutions to senior leadership and cross-functional stakeholders, translating complex modeling approaches into clear business recommendations</w:t>
      </w:r>
    </w:p>
    <w:p>
      <w:pPr>
        <w:pStyle w:val="ListParagraph"/>
        <w:numPr>
          <w:ilvl w:val="0"/>
          <w:numId w:val="2"/>
        </w:numPr>
        <w:spacing w:before="40" w:after="40"/>
      </w:pPr>
      <w:r>
        <w:rPr>
          <w:rFonts w:ascii="Calibri" w:cs="Calibri" w:eastAsia="Calibri" w:hAnsi="Calibri"/>
          <w:color w:val="555555"/>
          <w:sz w:val="20"/>
          <w:szCs w:val="20"/>
        </w:rPr>
        <w:t xml:space="preserve">Promoted organically from Data Scientist to Senior Data Scientist over 5-year tenure based on technical delivery and 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analytics and machine learning solutions across multiple industries including building supply software and tax technology</w:t>
      </w:r>
    </w:p>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quote fingerprinting at Paradigm, collaborating directly with VP of Product and engineering teams using Databricks platform</w:t>
      </w:r>
    </w:p>
    <w:p>
      <w:pPr>
        <w:pStyle w:val="ListParagraph"/>
        <w:numPr>
          <w:ilvl w:val="0"/>
          <w:numId w:val="2"/>
        </w:numPr>
        <w:spacing w:before="40" w:after="40"/>
      </w:pPr>
      <w:r>
        <w:rPr>
          <w:rFonts w:ascii="Calibri" w:cs="Calibri" w:eastAsia="Calibri" w:hAnsi="Calibri"/>
          <w:color w:val="555555"/>
          <w:sz w:val="20"/>
          <w:szCs w:val="20"/>
        </w:rPr>
        <w:t xml:space="preserve">Developed RAG system for tax filing recommendations using HuggingFace and PyTorch, including document corpus ingestion and query pipeline architecture</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Building &amp; Scaling  •  Analytics Strategy &amp; Roadmap  •  Data Governance  •  Stakeholder Partnership  •  Talent Development  •  Vendor Management</w:t>
      </w:r>
    </w:p>
    <w:p>
      <w:pPr>
        <w:spacing w:before="100" w:after="40"/>
      </w:pPr>
      <w:r>
        <w:rPr>
          <w:rFonts w:ascii="Calibri" w:cs="Calibri" w:eastAsia="Calibri" w:hAnsi="Calibri"/>
          <w:b/>
          <w:bCs/>
          <w:color w:val="000000"/>
          <w:sz w:val="20"/>
          <w:szCs w:val="20"/>
        </w:rPr>
        <w:t xml:space="preserve">Analytics Platforms &amp; Tools: </w:t>
      </w:r>
      <w:r>
        <w:rPr>
          <w:rFonts w:ascii="Calibri" w:cs="Calibri" w:eastAsia="Calibri" w:hAnsi="Calibri"/>
          <w:color w:val="555555"/>
          <w:sz w:val="20"/>
          <w:szCs w:val="20"/>
        </w:rPr>
        <w:t xml:space="preserve">Spotfire  •  Snowflake  •  Databricks  •  Sigma  •  Python  •  SQL</w:t>
      </w:r>
    </w:p>
    <w:p>
      <w:pPr>
        <w:spacing w:before="100" w:after="40"/>
      </w:pPr>
      <w:r>
        <w:rPr>
          <w:rFonts w:ascii="Calibri" w:cs="Calibri" w:eastAsia="Calibri" w:hAnsi="Calibri"/>
          <w:b/>
          <w:bCs/>
          <w:color w:val="000000"/>
          <w:sz w:val="20"/>
          <w:szCs w:val="20"/>
        </w:rPr>
        <w:t xml:space="preserve">Machine Learning &amp; Advanced Analytics: </w:t>
      </w:r>
      <w:r>
        <w:rPr>
          <w:rFonts w:ascii="Calibri" w:cs="Calibri" w:eastAsia="Calibri" w:hAnsi="Calibri"/>
          <w:color w:val="555555"/>
          <w:sz w:val="20"/>
          <w:szCs w:val="20"/>
        </w:rPr>
        <w:t xml:space="preserve">Predictive Modeling  •  Random Forest  •  Ensemble Methods  •  LLM/AI Implementation  •  Forecasting &amp; Planning</w:t>
      </w:r>
    </w:p>
    <w:p>
      <w:pPr>
        <w:spacing w:before="100" w:after="40"/>
      </w:pPr>
      <w:r>
        <w:rPr>
          <w:rFonts w:ascii="Calibri" w:cs="Calibri" w:eastAsia="Calibri" w:hAnsi="Calibri"/>
          <w:b/>
          <w:bCs/>
          <w:color w:val="000000"/>
          <w:sz w:val="20"/>
          <w:szCs w:val="20"/>
        </w:rPr>
        <w:t xml:space="preserve">Data &amp; Platform Architecture: </w:t>
      </w:r>
      <w:r>
        <w:rPr>
          <w:rFonts w:ascii="Calibri" w:cs="Calibri" w:eastAsia="Calibri" w:hAnsi="Calibri"/>
          <w:color w:val="555555"/>
          <w:sz w:val="20"/>
          <w:szCs w:val="20"/>
        </w:rPr>
        <w:t xml:space="preserve">Data Lake Design  •  ETL/ELT Pipelines  •  Data Quality Frameworks  •  AWS  •  Reference Data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2026-02-13T15:33:27.098Z</dcterms:created>
  <dcterms:modified xsi:type="dcterms:W3CDTF">2026-02-13T15:33:27.099Z</dcterms:modified>
</cp:coreProperties>
</file>

<file path=docProps/custom.xml><?xml version="1.0" encoding="utf-8"?>
<Properties xmlns="http://schemas.openxmlformats.org/officeDocument/2006/custom-properties" xmlns:vt="http://schemas.openxmlformats.org/officeDocument/2006/docPropsVTypes"/>
</file>