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AI &amp; Data Science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AI and data science leader with 10+ years building production ML systems in regulated environments. Proven track record deploying end-to-end AI solutions from problem framing through monitoring, including LLM classification, RAG systems, and ensemble models. Led cross-functional teams delivering scalable analytics platforms for pharmaceutical quality and regulatory intelligence. Strong technical depth in Python, PyTorch, and modern ML stack combined with ability to translate complex AI capabilities into business value for executives and stakeholders.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to analyze unstructured FDA 483 inspection text, assigning severity levels and weighted topic categories with validated accuracy metrics (confusion matrices, precision/recall)</w:t>
      </w:r>
    </w:p>
    <w:p>
      <w:pPr>
        <w:pStyle w:val="ListParagraph"/>
        <w:numPr>
          <w:ilvl w:val="0"/>
          <w:numId w:val="2"/>
        </w:numPr>
        <w:spacing w:before="40" w:after="40"/>
      </w:pPr>
      <w:r>
        <w:rPr>
          <w:rFonts w:ascii="Calibri" w:cs="Calibri" w:eastAsia="Calibri" w:hAnsi="Calibri"/>
          <w:color w:val="555555"/>
          <w:sz w:val="20"/>
          <w:szCs w:val="20"/>
        </w:rPr>
        <w:t xml:space="preserve">Designed end-to-end AI pipeline from data ingestion through deployment monitoring, collaborating with data engineering on production validation and performance optimization</w:t>
      </w:r>
    </w:p>
    <w:p>
      <w:pPr>
        <w:pStyle w:val="ListParagraph"/>
        <w:numPr>
          <w:ilvl w:val="0"/>
          <w:numId w:val="2"/>
        </w:numPr>
        <w:spacing w:before="40" w:after="40"/>
      </w:pPr>
      <w:r>
        <w:rPr>
          <w:rFonts w:ascii="Calibri" w:cs="Calibri" w:eastAsia="Calibri" w:hAnsi="Calibri"/>
          <w:color w:val="555555"/>
          <w:sz w:val="20"/>
          <w:szCs w:val="20"/>
        </w:rPr>
        <w:t xml:space="preserve">Developed risk-scoring models and reference data architecture harmonizing multi-source client data across Eli Lilly, Merck, and ProQuality Network engagements</w:t>
      </w:r>
    </w:p>
    <w:p>
      <w:pPr>
        <w:pStyle w:val="ListParagraph"/>
        <w:numPr>
          <w:ilvl w:val="0"/>
          <w:numId w:val="2"/>
        </w:numPr>
        <w:spacing w:before="40" w:after="40"/>
      </w:pPr>
      <w:r>
        <w:rPr>
          <w:rFonts w:ascii="Calibri" w:cs="Calibri" w:eastAsia="Calibri" w:hAnsi="Calibri"/>
          <w:color w:val="555555"/>
          <w:sz w:val="20"/>
          <w:szCs w:val="20"/>
        </w:rPr>
        <w:t xml:space="preserve">Delivered executive presentations at CHPA and ISPE conferences on AI/ML applications in FDA-regulated industries, translating technical capabilities into business value for pharmaceutical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Built production RAG system for tax tech startup using HuggingFace and PyTorch to query IRS and state tax documents, generating filing recommendations for business compliance workflows</w:t>
      </w:r>
    </w:p>
    <w:p>
      <w:pPr>
        <w:pStyle w:val="ListParagraph"/>
        <w:numPr>
          <w:ilvl w:val="0"/>
          <w:numId w:val="2"/>
        </w:numPr>
        <w:spacing w:before="40" w:after="40"/>
      </w:pPr>
      <w:r>
        <w:rPr>
          <w:rFonts w:ascii="Calibri" w:cs="Calibri" w:eastAsia="Calibri" w:hAnsi="Calibri"/>
          <w:color w:val="555555"/>
          <w:sz w:val="20"/>
          <w:szCs w:val="20"/>
        </w:rPr>
        <w:t xml:space="preserve">Deployed quote fingerprinting random forest model for building supply SaaS platform (Paradigm), running nightly in production on Databricks with direct stakeholder collaboration including VP of Product</w:t>
      </w:r>
    </w:p>
    <w:p>
      <w:pPr>
        <w:pStyle w:val="ListParagraph"/>
        <w:numPr>
          <w:ilvl w:val="0"/>
          <w:numId w:val="2"/>
        </w:numPr>
        <w:spacing w:before="40" w:after="40"/>
      </w:pPr>
      <w:r>
        <w:rPr>
          <w:rFonts w:ascii="Calibri" w:cs="Calibri" w:eastAsia="Calibri" w:hAnsi="Calibri"/>
          <w:color w:val="555555"/>
          <w:sz w:val="20"/>
          <w:szCs w:val="20"/>
        </w:rPr>
        <w:t xml:space="preserve">Architected full-stack puzzle game platform (Escalators) with Python backend, React/Node.js/Tailwind frontend, Google OAuth authentication, and Supabase data management serving daily users</w:t>
      </w:r>
    </w:p>
    <w:p>
      <w:pPr>
        <w:pStyle w:val="ListParagraph"/>
        <w:numPr>
          <w:ilvl w:val="0"/>
          <w:numId w:val="2"/>
        </w:numPr>
        <w:spacing w:before="40" w:after="40"/>
      </w:pPr>
      <w:r>
        <w:rPr>
          <w:rFonts w:ascii="Calibri" w:cs="Calibri" w:eastAsia="Calibri" w:hAnsi="Calibri"/>
          <w:color w:val="555555"/>
          <w:sz w:val="20"/>
          <w:szCs w:val="20"/>
        </w:rPr>
        <w:t xml:space="preserve">Delivered end-to-end ML solutions from problem scoping through deployment and monitoring across regulated compliance and enterprise workflow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team of 5 Spotfire developers and analysts building healthcare professional (HCP) and healthcare organization (HCO) analytics platform serving Medical Affairs organization</w:t>
      </w:r>
    </w:p>
    <w:p>
      <w:pPr>
        <w:pStyle w:val="ListParagraph"/>
        <w:numPr>
          <w:ilvl w:val="0"/>
          <w:numId w:val="2"/>
        </w:numPr>
        <w:spacing w:before="40" w:after="40"/>
      </w:pPr>
      <w:r>
        <w:rPr>
          <w:rFonts w:ascii="Calibri" w:cs="Calibri" w:eastAsia="Calibri" w:hAnsi="Calibri"/>
          <w:color w:val="555555"/>
          <w:sz w:val="20"/>
          <w:szCs w:val="20"/>
        </w:rPr>
        <w:t xml:space="preserve">Defined enterprise data strategy and governed centralized data lake as single source of truth, establishing formal data requirements and quality standards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for data acquisition, cleansing, and standardization workflows ensuring compliance with healthcare privacy regulations</w:t>
      </w:r>
    </w:p>
    <w:p>
      <w:pPr>
        <w:pStyle w:val="ListParagraph"/>
        <w:numPr>
          <w:ilvl w:val="0"/>
          <w:numId w:val="2"/>
        </w:numPr>
        <w:spacing w:before="40" w:after="40"/>
      </w:pPr>
      <w:r>
        <w:rPr>
          <w:rFonts w:ascii="Calibri" w:cs="Calibri" w:eastAsia="Calibri" w:hAnsi="Calibri"/>
          <w:color w:val="555555"/>
          <w:sz w:val="20"/>
          <w:szCs w:val="20"/>
        </w:rPr>
        <w:t xml:space="preserve">Served as strategic advisor to senior leadership on data governance frameworks, analytics roadmap, and organizational capability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group plus statistical monitoring team, managing predictive modeling initiatives for manufacturing and quality decisions</w:t>
      </w:r>
    </w:p>
    <w:p>
      <w:pPr>
        <w:pStyle w:val="ListParagraph"/>
        <w:numPr>
          <w:ilvl w:val="0"/>
          <w:numId w:val="2"/>
        </w:numPr>
        <w:spacing w:before="40" w:after="40"/>
      </w:pPr>
      <w:r>
        <w:rPr>
          <w:rFonts w:ascii="Calibri" w:cs="Calibri" w:eastAsia="Calibri" w:hAnsi="Calibri"/>
          <w:color w:val="555555"/>
          <w:sz w:val="20"/>
          <w:szCs w:val="20"/>
        </w:rPr>
        <w:t xml:space="preserve">Built real-time digital dashboards for process and quality monitoring, serving as Spotfire system administrator for enterprise deployment</w:t>
      </w:r>
    </w:p>
    <w:p>
      <w:pPr>
        <w:pStyle w:val="ListParagraph"/>
        <w:numPr>
          <w:ilvl w:val="0"/>
          <w:numId w:val="2"/>
        </w:numPr>
        <w:spacing w:before="40" w:after="40"/>
      </w:pPr>
      <w:r>
        <w:rPr>
          <w:rFonts w:ascii="Calibri" w:cs="Calibri" w:eastAsia="Calibri" w:hAnsi="Calibri"/>
          <w:color w:val="555555"/>
          <w:sz w:val="20"/>
          <w:szCs w:val="20"/>
        </w:rPr>
        <w:t xml:space="preserve">Wrote formal data requirements and led cross-functional teams through semi-annual APQR (Annual Product Quality Review) governance processes</w:t>
      </w:r>
    </w:p>
    <w:p>
      <w:pPr>
        <w:pStyle w:val="ListParagraph"/>
        <w:numPr>
          <w:ilvl w:val="0"/>
          <w:numId w:val="2"/>
        </w:numPr>
        <w:spacing w:before="40" w:after="40"/>
      </w:pPr>
      <w:r>
        <w:rPr>
          <w:rFonts w:ascii="Calibri" w:cs="Calibri" w:eastAsia="Calibri" w:hAnsi="Calibri"/>
          <w:color w:val="555555"/>
          <w:sz w:val="20"/>
          <w:szCs w:val="20"/>
        </w:rPr>
        <w:t xml:space="preserve">Delivered ML-driven insights to executive stakeholders balancing technical rigor with business impact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ensemble models, PLS, and PCA methods for biopharmaceutical manufacturing optimization including automated limit calculations and product quality prediction</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handling ingestion, cleaning, and transformation of manufacturing process data at production scale</w:t>
      </w:r>
    </w:p>
    <w:p>
      <w:pPr>
        <w:pStyle w:val="ListParagraph"/>
        <w:numPr>
          <w:ilvl w:val="0"/>
          <w:numId w:val="2"/>
        </w:numPr>
        <w:spacing w:before="40" w:after="40"/>
      </w:pPr>
      <w:r>
        <w:rPr>
          <w:rFonts w:ascii="Calibri" w:cs="Calibri" w:eastAsia="Calibri" w:hAnsi="Calibri"/>
          <w:color w:val="555555"/>
          <w:sz w:val="20"/>
          <w:szCs w:val="20"/>
        </w:rPr>
        <w:t xml:space="preserve">Presented technical solutions and business recommendations to senior leadership and cross-functional stakeholders across R&amp;D and manufacturing organizations</w:t>
      </w:r>
    </w:p>
    <w:p>
      <w:pPr>
        <w:pStyle w:val="ListParagraph"/>
        <w:numPr>
          <w:ilvl w:val="0"/>
          <w:numId w:val="2"/>
        </w:numPr>
        <w:spacing w:before="40" w:after="40"/>
      </w:pPr>
      <w:r>
        <w:rPr>
          <w:rFonts w:ascii="Calibri" w:cs="Calibri" w:eastAsia="Calibri" w:hAnsi="Calibri"/>
          <w:color w:val="555555"/>
          <w:sz w:val="20"/>
          <w:szCs w:val="20"/>
        </w:rPr>
        <w:t xml:space="preserve">Promoted from Data Scientist to Senior Data Scientist based on delivery of production-ready predictive models and stakeholder impact</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Published 7 peer-reviewed papers applying ML and evolutionary algorithms to complex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 &amp; Machine Learning: </w:t>
      </w:r>
      <w:r>
        <w:rPr>
          <w:rFonts w:ascii="Calibri" w:cs="Calibri" w:eastAsia="Calibri" w:hAnsi="Calibri"/>
          <w:color w:val="555555"/>
          <w:sz w:val="20"/>
          <w:szCs w:val="20"/>
        </w:rPr>
        <w:t xml:space="preserve">LLM Systems (OpenAI API)  •  RAG (HuggingFace, PyTorch)  •  Random Forest  •  Ensemble Models  •  PLS/PCA  •  Scikit-Learn  •  Model Evaluation  •  MLOps</w:t>
      </w:r>
    </w:p>
    <w:p>
      <w:pPr>
        <w:spacing w:before="100" w:after="40"/>
      </w:pPr>
      <w:r>
        <w:rPr>
          <w:rFonts w:ascii="Calibri" w:cs="Calibri" w:eastAsia="Calibri" w:hAnsi="Calibri"/>
          <w:b/>
          <w:bCs/>
          <w:color w:val="000000"/>
          <w:sz w:val="20"/>
          <w:szCs w:val="20"/>
        </w:rPr>
        <w:t xml:space="preserve">Programming &amp; Platforms: </w:t>
      </w:r>
      <w:r>
        <w:rPr>
          <w:rFonts w:ascii="Calibri" w:cs="Calibri" w:eastAsia="Calibri" w:hAnsi="Calibri"/>
          <w:color w:val="555555"/>
          <w:sz w:val="20"/>
          <w:szCs w:val="20"/>
        </w:rPr>
        <w:t xml:space="preserve">Python (Advanced)  •  SQL  •  Node.js  •  React  •  Git  •  APIs  •  CI/CD  •  Containerization</w:t>
      </w:r>
    </w:p>
    <w:p>
      <w:pPr>
        <w:spacing w:before="100" w:after="40"/>
      </w:pPr>
      <w:r>
        <w:rPr>
          <w:rFonts w:ascii="Calibri" w:cs="Calibri" w:eastAsia="Calibri" w:hAnsi="Calibri"/>
          <w:b/>
          <w:bCs/>
          <w:color w:val="000000"/>
          <w:sz w:val="20"/>
          <w:szCs w:val="20"/>
        </w:rPr>
        <w:t xml:space="preserve">Data Engineering &amp; Cloud: </w:t>
      </w:r>
      <w:r>
        <w:rPr>
          <w:rFonts w:ascii="Calibri" w:cs="Calibri" w:eastAsia="Calibri" w:hAnsi="Calibri"/>
          <w:color w:val="555555"/>
          <w:sz w:val="20"/>
          <w:szCs w:val="20"/>
        </w:rPr>
        <w:t xml:space="preserve">Snowflake  •  Databricks  •  AWS  •  ETL/ELT Pipelines  •  Vector Databases  •  Data Governance</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Management (3-7 people)  •  Technical Roadmap  •  Cross-Functional Collaboration  •  Stakeholder Communication  •  Responsible AI in Regulated Environments</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2026-02-12T15:58:21.235Z</dcterms:created>
  <dcterms:modified xsi:type="dcterms:W3CDTF">2026-02-12T15:58:21.236Z</dcterms:modified>
</cp:coreProperties>
</file>

<file path=docProps/custom.xml><?xml version="1.0" encoding="utf-8"?>
<Properties xmlns="http://schemas.openxmlformats.org/officeDocument/2006/custom-properties" xmlns:vt="http://schemas.openxmlformats.org/officeDocument/2006/docPropsVTypes"/>
</file>