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Senior Director of AI Insights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 and analytics leader with 10+ years transforming data into actionable insights that drive measurable business impact across enterprise organizations. Proven track record applying advanced AI and machine learning to solve complex business challenges, translating technical capabilities into strategic value for executive stakeholders. Exceptional communicator and storyteller with demonstrated ability to bridge the gap between AI innovation and business strategy through thought leadership at industry conferences and cross-functional partnerships. Deep expertise in predictive analytics, natural language processing (LLM deployment), and data visualization combined with strong business acumen and consultative approach to embedding AI insights into organizational decision-making.</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Defined AI vision and roadmap for pharmaceutical clients, identifying opportunities where AI-driven insights could enhance regulatory compliance decision-making and create competitive advantage through early risk detection</w:t>
      </w:r>
    </w:p>
    <w:p>
      <w:pPr>
        <w:pStyle w:val="ListParagraph"/>
        <w:numPr>
          <w:ilvl w:val="0"/>
          <w:numId w:val="2"/>
        </w:numPr>
        <w:spacing w:before="40" w:after="40"/>
      </w:pPr>
      <w:r>
        <w:rPr>
          <w:rFonts w:ascii="Calibri" w:cs="Calibri" w:eastAsia="Calibri" w:hAnsi="Calibri"/>
          <w:color w:val="555555"/>
          <w:sz w:val="20"/>
          <w:szCs w:val="20"/>
        </w:rPr>
        <w:t xml:space="preserve">Built production LLM-powered insights system that automatically analyzes unstructured FDA enforcement text and generates risk intelligence, enabling quality leaders to proactively address compliance trends before they become critical issues</w:t>
      </w:r>
    </w:p>
    <w:p>
      <w:pPr>
        <w:pStyle w:val="ListParagraph"/>
        <w:numPr>
          <w:ilvl w:val="0"/>
          <w:numId w:val="2"/>
        </w:numPr>
        <w:spacing w:before="40" w:after="40"/>
      </w:pPr>
      <w:r>
        <w:rPr>
          <w:rFonts w:ascii="Calibri" w:cs="Calibri" w:eastAsia="Calibri" w:hAnsi="Calibri"/>
          <w:color w:val="555555"/>
          <w:sz w:val="20"/>
          <w:szCs w:val="20"/>
        </w:rPr>
        <w:t xml:space="preserve">Partnered with executive stakeholders at Eli Lilly, Merck, and other pharmaceutical companies to align AI initiatives with strategic priorities, defining success metrics tied to reduced compliance violations and faster risk response times</w:t>
      </w:r>
    </w:p>
    <w:p>
      <w:pPr>
        <w:pStyle w:val="ListParagraph"/>
        <w:numPr>
          <w:ilvl w:val="0"/>
          <w:numId w:val="2"/>
        </w:numPr>
        <w:spacing w:before="40" w:after="40"/>
      </w:pPr>
      <w:r>
        <w:rPr>
          <w:rFonts w:ascii="Calibri" w:cs="Calibri" w:eastAsia="Calibri" w:hAnsi="Calibri"/>
          <w:color w:val="555555"/>
          <w:sz w:val="20"/>
          <w:szCs w:val="20"/>
        </w:rPr>
        <w:t xml:space="preserve">Led thought leadership initiatives presenting AI strategy at CHPA and ISPE industry conferences as solo presenter, advocating for AI literacy and driving organizational adoption through storytelling that translated complex technical concepts into business value</w:t>
      </w:r>
    </w:p>
    <w:p>
      <w:pPr>
        <w:pStyle w:val="ListParagraph"/>
        <w:numPr>
          <w:ilvl w:val="0"/>
          <w:numId w:val="2"/>
        </w:numPr>
        <w:spacing w:before="40" w:after="40"/>
      </w:pPr>
      <w:r>
        <w:rPr>
          <w:rFonts w:ascii="Calibri" w:cs="Calibri" w:eastAsia="Calibri" w:hAnsi="Calibri"/>
          <w:color w:val="555555"/>
          <w:sz w:val="20"/>
          <w:szCs w:val="20"/>
        </w:rPr>
        <w:t xml:space="preserve">Established best practices for model monitoring, validation frameworks, and ethical AI implementation in highly regulated environment, ensuring models performed reliably while maintaining transparency and auditability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Applied AI insights to solve business challenges across multiple industries, working consultatively with stakeholders to identify opportunities where machine learning could drive measurable results</w:t>
      </w:r>
    </w:p>
    <w:p>
      <w:pPr>
        <w:pStyle w:val="ListParagraph"/>
        <w:numPr>
          <w:ilvl w:val="0"/>
          <w:numId w:val="2"/>
        </w:numPr>
        <w:spacing w:before="40" w:after="40"/>
      </w:pPr>
      <w:r>
        <w:rPr>
          <w:rFonts w:ascii="Calibri" w:cs="Calibri" w:eastAsia="Calibri" w:hAnsi="Calibri"/>
          <w:color w:val="555555"/>
          <w:sz w:val="20"/>
          <w:szCs w:val="20"/>
        </w:rPr>
        <w:t xml:space="preserve">Deployed production random forest model for building supply software company that transformed quote data into actionable sales pipeline insights, partnering directly with VP of Product to embed AI-driven recommendations into daily workflows</w:t>
      </w:r>
    </w:p>
    <w:p>
      <w:pPr>
        <w:pStyle w:val="ListParagraph"/>
        <w:numPr>
          <w:ilvl w:val="0"/>
          <w:numId w:val="2"/>
        </w:numPr>
        <w:spacing w:before="40" w:after="40"/>
      </w:pPr>
      <w:r>
        <w:rPr>
          <w:rFonts w:ascii="Calibri" w:cs="Calibri" w:eastAsia="Calibri" w:hAnsi="Calibri"/>
          <w:color w:val="555555"/>
          <w:sz w:val="20"/>
          <w:szCs w:val="20"/>
        </w:rPr>
        <w:t xml:space="preserve">Built natural language processing system for tax compliance startup using transformers and retrieval-augmented generation, demonstrating ability to apply cutting-edge AI techniques to practical business problems</w:t>
      </w:r>
    </w:p>
    <w:p>
      <w:pPr>
        <w:pStyle w:val="ListParagraph"/>
        <w:numPr>
          <w:ilvl w:val="0"/>
          <w:numId w:val="2"/>
        </w:numPr>
        <w:spacing w:before="40" w:after="40"/>
      </w:pPr>
      <w:r>
        <w:rPr>
          <w:rFonts w:ascii="Calibri" w:cs="Calibri" w:eastAsia="Calibri" w:hAnsi="Calibri"/>
          <w:color w:val="555555"/>
          <w:sz w:val="20"/>
          <w:szCs w:val="20"/>
        </w:rPr>
        <w:t xml:space="preserve">Developed metrics and monitoring frameworks to continuously improve models based on business outcomes and user adoption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enterprise analytics strategy and vision as advisor to senior Medical Affairs leadership, ensuring insights initiatives aligned with organizational objectives and delivered measurable impact on HCP engagement outcomes</w:t>
      </w:r>
    </w:p>
    <w:p>
      <w:pPr>
        <w:pStyle w:val="ListParagraph"/>
        <w:numPr>
          <w:ilvl w:val="0"/>
          <w:numId w:val="2"/>
        </w:numPr>
        <w:spacing w:before="40" w:after="40"/>
      </w:pPr>
      <w:r>
        <w:rPr>
          <w:rFonts w:ascii="Calibri" w:cs="Calibri" w:eastAsia="Calibri" w:hAnsi="Calibri"/>
          <w:color w:val="555555"/>
          <w:sz w:val="20"/>
          <w:szCs w:val="20"/>
        </w:rPr>
        <w:t xml:space="preserve">Led team of 5 analytics professionals, fostering culture of innovation and continuous learning while embedding data-driven insights into cross-functional decision-making across Medical, Commercial, and Clinical teams</w:t>
      </w:r>
    </w:p>
    <w:p>
      <w:pPr>
        <w:pStyle w:val="ListParagraph"/>
        <w:numPr>
          <w:ilvl w:val="0"/>
          <w:numId w:val="2"/>
        </w:numPr>
        <w:spacing w:before="40" w:after="40"/>
      </w:pPr>
      <w:r>
        <w:rPr>
          <w:rFonts w:ascii="Calibri" w:cs="Calibri" w:eastAsia="Calibri" w:hAnsi="Calibri"/>
          <w:color w:val="555555"/>
          <w:sz w:val="20"/>
          <w:szCs w:val="20"/>
        </w:rPr>
        <w:t xml:space="preserve">Collaborated with product, operations, and finance leaders to identify opportunities where advanced analytics could uncover trends and enhance strategic planning for drug launch initiatives and territory optimization</w:t>
      </w:r>
    </w:p>
    <w:p>
      <w:pPr>
        <w:pStyle w:val="ListParagraph"/>
        <w:numPr>
          <w:ilvl w:val="0"/>
          <w:numId w:val="2"/>
        </w:numPr>
        <w:spacing w:before="40" w:after="40"/>
      </w:pPr>
      <w:r>
        <w:rPr>
          <w:rFonts w:ascii="Calibri" w:cs="Calibri" w:eastAsia="Calibri" w:hAnsi="Calibri"/>
          <w:color w:val="555555"/>
          <w:sz w:val="20"/>
          <w:szCs w:val="20"/>
        </w:rPr>
        <w:t xml:space="preserve">Drove organizational adoption of analytics tools and insights through stakeholder education, executive presentations, and building trusted relationships that positioned analytics as strategic partner rather than reporting function</w:t>
      </w:r>
    </w:p>
    <w:p>
      <w:pPr>
        <w:pStyle w:val="ListParagraph"/>
        <w:numPr>
          <w:ilvl w:val="0"/>
          <w:numId w:val="2"/>
        </w:numPr>
        <w:spacing w:before="40" w:after="40"/>
      </w:pPr>
      <w:r>
        <w:rPr>
          <w:rFonts w:ascii="Calibri" w:cs="Calibri" w:eastAsia="Calibri" w:hAnsi="Calibri"/>
          <w:color w:val="555555"/>
          <w:sz w:val="20"/>
          <w:szCs w:val="20"/>
        </w:rPr>
        <w:t xml:space="preserve">Managed data governance frameworks ensuring privacy compliance and ethical use of healthcare professional data while maintaining accessibility for decision-makers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analytics and data science teams in applying predictive analytics and machine learning to manufacturing quality challenges, translating model outputs into actionable recommendations for plant leadership</w:t>
      </w:r>
    </w:p>
    <w:p>
      <w:pPr>
        <w:pStyle w:val="ListParagraph"/>
        <w:numPr>
          <w:ilvl w:val="0"/>
          <w:numId w:val="2"/>
        </w:numPr>
        <w:spacing w:before="40" w:after="40"/>
      </w:pPr>
      <w:r>
        <w:rPr>
          <w:rFonts w:ascii="Calibri" w:cs="Calibri" w:eastAsia="Calibri" w:hAnsi="Calibri"/>
          <w:color w:val="555555"/>
          <w:sz w:val="20"/>
          <w:szCs w:val="20"/>
        </w:rPr>
        <w:t xml:space="preserve">Built real-time monitoring dashboards that visualized complex statistical insights for non-technical manufacturing audiences, using data storytelling to drive adoption of predictive quality tools</w:t>
      </w:r>
    </w:p>
    <w:p>
      <w:pPr>
        <w:pStyle w:val="ListParagraph"/>
        <w:numPr>
          <w:ilvl w:val="0"/>
          <w:numId w:val="2"/>
        </w:numPr>
        <w:spacing w:before="40" w:after="40"/>
      </w:pPr>
      <w:r>
        <w:rPr>
          <w:rFonts w:ascii="Calibri" w:cs="Calibri" w:eastAsia="Calibri" w:hAnsi="Calibri"/>
          <w:color w:val="555555"/>
          <w:sz w:val="20"/>
          <w:szCs w:val="20"/>
        </w:rPr>
        <w:t xml:space="preserve">Partnered with cross-functional teams spanning operations, quality, regulatory, and finance to embed AI-driven insights into semi-annual product quality review processes</w:t>
      </w:r>
    </w:p>
    <w:p>
      <w:pPr>
        <w:pStyle w:val="ListParagraph"/>
        <w:numPr>
          <w:ilvl w:val="0"/>
          <w:numId w:val="2"/>
        </w:numPr>
        <w:spacing w:before="40" w:after="40"/>
      </w:pPr>
      <w:r>
        <w:rPr>
          <w:rFonts w:ascii="Calibri" w:cs="Calibri" w:eastAsia="Calibri" w:hAnsi="Calibri"/>
          <w:color w:val="555555"/>
          <w:sz w:val="20"/>
          <w:szCs w:val="20"/>
        </w:rPr>
        <w:t xml:space="preserve">Established success metrics and continuously improved analytical approaches based on business outcomes including reduced out-of-specification rates and faster issue resolution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Applied predictive analytics and machine learning to biopharmaceutical manufacturing challenges, developing models for feed optimization, quality prediction, and automated limit calculations that drove measurable operational improvements</w:t>
      </w:r>
    </w:p>
    <w:p>
      <w:pPr>
        <w:pStyle w:val="ListParagraph"/>
        <w:numPr>
          <w:ilvl w:val="0"/>
          <w:numId w:val="2"/>
        </w:numPr>
        <w:spacing w:before="40" w:after="40"/>
      </w:pPr>
      <w:r>
        <w:rPr>
          <w:rFonts w:ascii="Calibri" w:cs="Calibri" w:eastAsia="Calibri" w:hAnsi="Calibri"/>
          <w:color w:val="555555"/>
          <w:sz w:val="20"/>
          <w:szCs w:val="20"/>
        </w:rPr>
        <w:t xml:space="preserve">Communicated complex analytical concepts to executive leadership and manufacturing stakeholders through compelling visualizations and business-focused narratives, demonstrating ability to translate technical detail into strategic value</w:t>
      </w:r>
    </w:p>
    <w:p>
      <w:pPr>
        <w:pStyle w:val="ListParagraph"/>
        <w:numPr>
          <w:ilvl w:val="0"/>
          <w:numId w:val="2"/>
        </w:numPr>
        <w:spacing w:before="40" w:after="40"/>
      </w:pPr>
      <w:r>
        <w:rPr>
          <w:rFonts w:ascii="Calibri" w:cs="Calibri" w:eastAsia="Calibri" w:hAnsi="Calibri"/>
          <w:color w:val="555555"/>
          <w:sz w:val="20"/>
          <w:szCs w:val="20"/>
        </w:rPr>
        <w:t xml:space="preserve">Identified opportunities where AI could enhance decision-making across manufacturing organization, working consultatively with process engineers and quality leaders to solve business problems rather than just building models</w:t>
      </w:r>
    </w:p>
    <w:p>
      <w:pPr>
        <w:pStyle w:val="ListParagraph"/>
        <w:numPr>
          <w:ilvl w:val="0"/>
          <w:numId w:val="2"/>
        </w:numPr>
        <w:spacing w:before="40" w:after="40"/>
      </w:pPr>
      <w:r>
        <w:rPr>
          <w:rFonts w:ascii="Calibri" w:cs="Calibri" w:eastAsia="Calibri" w:hAnsi="Calibri"/>
          <w:color w:val="555555"/>
          <w:sz w:val="20"/>
          <w:szCs w:val="20"/>
        </w:rPr>
        <w:t xml:space="preserve">Presented analytical insights at internal Process Sciences Consortium events, educating cross-functional audiences on AI capabilities and building organizational AI literacy</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on optimization and control methods, providing strong quantitative foundation for advanced analytics and AI applications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AI &amp; Machine Learning: </w:t>
      </w:r>
      <w:r>
        <w:rPr>
          <w:rFonts w:ascii="Calibri" w:cs="Calibri" w:eastAsia="Calibri" w:hAnsi="Calibri"/>
          <w:color w:val="555555"/>
          <w:sz w:val="20"/>
          <w:szCs w:val="20"/>
        </w:rPr>
        <w:t xml:space="preserve">Natural Language Processing  •  LLM Implementation  •  Predictive Analytics  •  Machine Learning  •  Transformers  •  Random Forest  •  Ensemble Models</w:t>
      </w:r>
    </w:p>
    <w:p>
      <w:pPr>
        <w:spacing w:before="100" w:after="40"/>
      </w:pPr>
      <w:r>
        <w:rPr>
          <w:rFonts w:ascii="Calibri" w:cs="Calibri" w:eastAsia="Calibri" w:hAnsi="Calibri"/>
          <w:b/>
          <w:bCs/>
          <w:color w:val="000000"/>
          <w:sz w:val="20"/>
          <w:szCs w:val="20"/>
        </w:rPr>
        <w:t xml:space="preserve">Analytics Platforms &amp; Tools: </w:t>
      </w:r>
      <w:r>
        <w:rPr>
          <w:rFonts w:ascii="Calibri" w:cs="Calibri" w:eastAsia="Calibri" w:hAnsi="Calibri"/>
          <w:color w:val="555555"/>
          <w:sz w:val="20"/>
          <w:szCs w:val="20"/>
        </w:rPr>
        <w:t xml:space="preserve">Python  •  Scikit-Learn  •  PyTorch  •  HuggingFace  •  Databricks  •  Snowflake  •  Spotfire  •  Sigma</w:t>
      </w:r>
    </w:p>
    <w:p>
      <w:pPr>
        <w:spacing w:before="100" w:after="40"/>
      </w:pPr>
      <w:r>
        <w:rPr>
          <w:rFonts w:ascii="Calibri" w:cs="Calibri" w:eastAsia="Calibri" w:hAnsi="Calibri"/>
          <w:b/>
          <w:bCs/>
          <w:color w:val="000000"/>
          <w:sz w:val="20"/>
          <w:szCs w:val="20"/>
        </w:rPr>
        <w:t xml:space="preserve">Data Visualization &amp; Storytelling: </w:t>
      </w:r>
      <w:r>
        <w:rPr>
          <w:rFonts w:ascii="Calibri" w:cs="Calibri" w:eastAsia="Calibri" w:hAnsi="Calibri"/>
          <w:color w:val="555555"/>
          <w:sz w:val="20"/>
          <w:szCs w:val="20"/>
        </w:rPr>
        <w:t xml:space="preserve">Dashboard Development  •  Executive Presentations  •  Data Storytelling  •  Business Intelligence  •  Tableau-style Visualization</w:t>
      </w:r>
    </w:p>
    <w:p>
      <w:pPr>
        <w:spacing w:before="100" w:after="40"/>
      </w:pPr>
      <w:r>
        <w:rPr>
          <w:rFonts w:ascii="Calibri" w:cs="Calibri" w:eastAsia="Calibri" w:hAnsi="Calibri"/>
          <w:b/>
          <w:bCs/>
          <w:color w:val="000000"/>
          <w:sz w:val="20"/>
          <w:szCs w:val="20"/>
        </w:rPr>
        <w:t xml:space="preserve">Business &amp; Strategy: </w:t>
      </w:r>
      <w:r>
        <w:rPr>
          <w:rFonts w:ascii="Calibri" w:cs="Calibri" w:eastAsia="Calibri" w:hAnsi="Calibri"/>
          <w:color w:val="555555"/>
          <w:sz w:val="20"/>
          <w:szCs w:val="20"/>
        </w:rPr>
        <w:t xml:space="preserve">Cross-functional Collaboration  •  Stakeholder Engagement  •  Success Metrics Definition  •  AI Strategy  •  Consultative Problem-Solving</w:t>
      </w:r>
    </w:p>
    <w:p>
      <w:pPr>
        <w:spacing w:before="100" w:after="40"/>
      </w:pPr>
      <w:r>
        <w:rPr>
          <w:rFonts w:ascii="Calibri" w:cs="Calibri" w:eastAsia="Calibri" w:hAnsi="Calibri"/>
          <w:b/>
          <w:bCs/>
          <w:color w:val="000000"/>
          <w:sz w:val="20"/>
          <w:szCs w:val="20"/>
        </w:rPr>
        <w:t xml:space="preserve">Governance &amp; Best Practices: </w:t>
      </w:r>
      <w:r>
        <w:rPr>
          <w:rFonts w:ascii="Calibri" w:cs="Calibri" w:eastAsia="Calibri" w:hAnsi="Calibri"/>
          <w:color w:val="555555"/>
          <w:sz w:val="20"/>
          <w:szCs w:val="20"/>
        </w:rPr>
        <w:t xml:space="preserve">Data Governance  •  Ethical AI  •  Model Monitoring  •  Privacy Compliance  •  Model Lifecycle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Process Sciences Consortium, Regeneron Pharmaceuticals (2020) — Solo Presenter: Automated Calculation of Production Bioreactor Primary Feed Quantities</w:t>
      </w:r>
    </w:p>
    <w:p>
      <w:pPr>
        <w:pStyle w:val="ListParagraph"/>
        <w:numPr>
          <w:ilvl w:val="0"/>
          <w:numId w:val="2"/>
        </w:numPr>
        <w:spacing w:before="40" w:after="40"/>
      </w:pPr>
      <w:r>
        <w:rPr>
          <w:rFonts w:ascii="Calibri" w:cs="Calibri" w:eastAsia="Calibri" w:hAnsi="Calibri"/>
          <w:color w:val="555555"/>
          <w:sz w:val="20"/>
          <w:szCs w:val="20"/>
        </w:rPr>
        <w:t xml:space="preserve">Process Sciences Consortium, Regeneron Pharmaceuticals (2019) — Solo Presenter: Aperture Predictive Modeling Program</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2026-02-11T20:42:56.757Z</dcterms:created>
  <dcterms:modified xsi:type="dcterms:W3CDTF">2026-02-11T20:42:56.758Z</dcterms:modified>
</cp:coreProperties>
</file>

<file path=docProps/custom.xml><?xml version="1.0" encoding="utf-8"?>
<Properties xmlns="http://schemas.openxmlformats.org/officeDocument/2006/custom-properties" xmlns:vt="http://schemas.openxmlformats.org/officeDocument/2006/docPropsVTypes"/>
</file>