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10,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SymphonyAI</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Data Science – Predictive &amp; Agentic AI</w:t>
      </w:r>
    </w:p>
    <w:p>
      <w:pPr>
        <w:spacing w:before="200" w:after="200"/>
      </w:pPr>
      <w:r>
        <w:rPr>
          <w:rFonts w:ascii="Calibri" w:cs="Calibri" w:eastAsia="Calibri" w:hAnsi="Calibri"/>
          <w:color w:val="555555"/>
          <w:sz w:val="22"/>
          <w:szCs w:val="22"/>
        </w:rPr>
        <w:t xml:space="preserve">I'm writing to express my strong interest in the Director of Data Science - Predictive &amp; Agentic AI position at SymphonyAI. With over a decade delivering production ML systems and leading data science teams in enterprise environments, I'm excited by the opportunity to drive AI innovation that delivers measurable business outcomes across your SaaS platform portfolio.</w:t>
      </w:r>
    </w:p>
    <w:p>
      <w:pPr>
        <w:spacing w:before="200" w:after="200"/>
      </w:pPr>
      <w:r>
        <w:rPr>
          <w:rFonts w:ascii="Calibri" w:cs="Calibri" w:eastAsia="Calibri" w:hAnsi="Calibri"/>
          <w:color w:val="555555"/>
          <w:sz w:val="22"/>
          <w:szCs w:val="22"/>
        </w:rPr>
        <w:t xml:space="preserve">My experience spans the full spectrum of capabilities this role requires - from predictive modeling foundations to cutting-edge LLM deployment. At Redica Systems, I owned design and deployment of a production LLM classifier processing unstructured FDA text, implementing rigorous validation frameworks (confusion matrices, cross-validation) to ensure model consistency and reliability. This system serves as the statistical foundation for downstream risk intelligence workflows, grounded in trusted regulatory data. The project required deep attention to explainability and human-in-the-loop design - regulatory experts needed clear decision rationale and confidence scoring to trust AI recommendations for high-stakes compliance decisions. I've also deployed production random forest models in Databricks for sales intelligence and built RAG systems using HuggingFace transformers, giving me hands-on experience with both deterministic and generative AI approaches.</w:t>
      </w:r>
    </w:p>
    <w:p>
      <w:pPr>
        <w:spacing w:before="200" w:after="200"/>
      </w:pPr>
      <w:r>
        <w:rPr>
          <w:rFonts w:ascii="Calibri" w:cs="Calibri" w:eastAsia="Calibri" w:hAnsi="Calibri"/>
          <w:color w:val="555555"/>
          <w:sz w:val="22"/>
          <w:szCs w:val="22"/>
        </w:rPr>
        <w:t xml:space="preserve">Throughout my career at Regeneron, Takeda, and Gilead, I've specialized in translating complex AI capabilities into business value for expert decision-makers. At Regeneron, I built predictive models for manufacturing quality that required outputs aligning with experienced process engineers' intuition - I learned to balance algorithmic rigor with domain expertise through extensive stakeholder collaboration. At Takeda, I established success metrics tied directly to business outcomes: reduced out-of-specification events, improved yield predictions, faster investigation cycles. This experience taught me that enterprise AI succeeds when it augments rather than replaces human judgment, which resonates deeply with SymphonyAI's philosophy of enhancing decision-making through trusted, explainable AI.</w:t>
      </w:r>
    </w:p>
    <w:p>
      <w:pPr>
        <w:spacing w:before="200" w:after="200"/>
      </w:pPr>
      <w:r>
        <w:rPr>
          <w:rFonts w:ascii="Calibri" w:cs="Calibri" w:eastAsia="Calibri" w:hAnsi="Calibri"/>
          <w:color w:val="555555"/>
          <w:sz w:val="22"/>
          <w:szCs w:val="22"/>
        </w:rPr>
        <w:t xml:space="preserve">As a leader, I've managed teams of 3-7 data scientists and engineers, fostering experimentation while establishing governance frameworks for reproducible, production-grade ML. At Gilead, I mentored my team through platform migrations and model deployments while defining enterprise analytics strategy as advisor to senior Medical Affairs leadership. I've presented technical AI work at industry conferences (CHPA, ISPE) as solo presenter, demonstrating the communication skills needed to influence both technical and executive stakeholders. I'm passionate about building inclusive teams and creating environments where scientists can experiment, learn continuously, and deliver work they're proud of. My PhD in mathematical optimization and published research in algorithmic decision-making provide the theoretical foundation to engage credibly with emerging trends in foundation models, agentic systems, and AI orchestration.</w:t>
      </w:r>
    </w:p>
    <w:p>
      <w:pPr>
        <w:spacing w:before="200" w:after="400"/>
      </w:pPr>
      <w:r>
        <w:rPr>
          <w:rFonts w:ascii="Calibri" w:cs="Calibri" w:eastAsia="Calibri" w:hAnsi="Calibri"/>
          <w:color w:val="555555"/>
          <w:sz w:val="22"/>
          <w:szCs w:val="22"/>
        </w:rPr>
        <w:t xml:space="preserve">I'd welcome the opportunity to discuss how my experience deploying production AI systems, leading data science teams, and translating ML innovation into enterprise value can contribute to SymphonyAI's mission.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2026-02-11T20:31:06.795Z</dcterms:created>
  <dcterms:modified xsi:type="dcterms:W3CDTF">2026-02-11T20:31:06.795Z</dcterms:modified>
</cp:coreProperties>
</file>

<file path=docProps/custom.xml><?xml version="1.0" encoding="utf-8"?>
<Properties xmlns="http://schemas.openxmlformats.org/officeDocument/2006/custom-properties" xmlns:vt="http://schemas.openxmlformats.org/officeDocument/2006/docPropsVTypes"/>
</file>