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B3A5C"/>
          <w:sz w:val="56"/>
          <w:szCs w:val="56"/>
        </w:rPr>
        <w:t xml:space="preserve">Matt Oremland, PhD</w:t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2E6B9E"/>
          <w:sz w:val="24"/>
          <w:szCs w:val="24"/>
        </w:rPr>
        <w:t xml:space="preserve">Data Strategy and Operations Leadership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mattoremland@gmail.com</w:t>
      </w:r>
      <w:r>
        <w:rPr>
          <w:rFonts w:ascii="Calibri" w:cs="Calibri" w:eastAsia="Calibri" w:hAnsi="Calibri"/>
          <w:color w:val="CCCCCC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(518) 560-1473</w:t>
      </w:r>
      <w:r>
        <w:rPr>
          <w:rFonts w:ascii="Calibri" w:cs="Calibri" w:eastAsia="Calibri" w:hAnsi="Calibri"/>
          <w:color w:val="CCCCCC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Saratoga Springs, NY 12866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2E6B9E"/>
          <w:sz w:val="18"/>
          <w:szCs w:val="18"/>
        </w:rPr>
        <w:t xml:space="preserve">https://www.linkedin.com/in/matthew-oremland-31a312101</w:t>
      </w:r>
    </w:p>
    <w:p>
      <w:pPr>
        <w:spacing w:before="160" w:after="8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PROFESSIONAL SUMMARY</w:t>
      </w:r>
    </w:p>
    <w:p>
      <w:pPr>
        <w:pBdr>
          <w:bottom w:val="single" w:color="2E6B9E" w:sz="6"/>
        </w:pBdr>
        <w:spacing w:before="0" w:after="120"/>
      </w:pPr>
    </w:p>
    <w:p>
      <w:pPr>
        <w:spacing w:before="40" w:after="16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Operations-driven data leader with 10+ years experience in pharmaceutical data strategy, quality management, and analytics enablement. Proven track record building high-performing teams, establishing enterprise data governance frameworks, and operationalizing complex datasets for business impact. Deep expertise in healthcare reference data, regulatory compliance, and cross-functional stakeholder management across drug development and commercial operations. PhD in quantitative methods with strong analytical foundation.</w:t>
      </w:r>
    </w:p>
    <w:p>
      <w:pPr>
        <w:spacing w:before="160" w:after="8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PROFESSIONAL EXPERIENCE</w:t>
      </w:r>
    </w:p>
    <w:p>
      <w:pPr>
        <w:pBdr>
          <w:bottom w:val="single" w:color="2E6B9E" w:sz="6"/>
        </w:pBdr>
        <w:spacing w:before="0"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2400"/>
      </w:tblGrid>
      <w:tr>
        <w:tc>
          <w:tcPr>
            <w:tcW w:type="dxa" w:w="7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Redica Systems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April 2025 – February 2026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2400"/>
      </w:tblGrid>
      <w:tr>
        <w:tc>
          <w:tcPr>
            <w:tcW w:type="dxa" w:w="7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40" w:after="60"/>
            </w:pPr>
            <w:r>
              <w:rPr>
                <w:rFonts w:ascii="Calibri" w:cs="Calibri" w:eastAsia="Calibri" w:hAnsi="Calibri"/>
                <w:i/>
                <w:iCs/>
                <w:color w:val="2E6B9E"/>
                <w:sz w:val="20"/>
                <w:szCs w:val="20"/>
              </w:rPr>
              <w:t xml:space="preserve">Senior Director, Data Strategy &amp; Analytics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40" w:after="6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Remote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Led enterprise data strategy for pharmaceutical regulatory intelligence platform serving Eli Lilly, Merck, and ProQuality Network, establishing data evaluation frameworks and quality management processes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Built comprehensive data governance and compliance frameworks for FDA-regulated datasets, ensuring data quality, discoverability, and fit-for-purpose operationalization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Drove stakeholder enablement through training programs and documentation, accelerating insights adoption across quality and regulatory functions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Managed vendor relationships and data onboarding processes, overseeing contracting, evaluation, and integration of external data sources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Developed automated data quality validation frameworks that identified and resolved inconsistencies, improving data reliability for business decision-making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2400"/>
      </w:tblGrid>
      <w:tr>
        <w:tc>
          <w:tcPr>
            <w:tcW w:type="dxa" w:w="7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200"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Tidal Wave Analytics LLC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200" w:after="0"/>
              <w:jc w:val="righ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January 2025 – Present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2400"/>
      </w:tblGrid>
      <w:tr>
        <w:tc>
          <w:tcPr>
            <w:tcW w:type="dxa" w:w="7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40" w:after="60"/>
            </w:pPr>
            <w:r>
              <w:rPr>
                <w:rFonts w:ascii="Calibri" w:cs="Calibri" w:eastAsia="Calibri" w:hAnsi="Calibri"/>
                <w:i/>
                <w:iCs/>
                <w:color w:val="2E6B9E"/>
                <w:sz w:val="20"/>
                <w:szCs w:val="20"/>
              </w:rPr>
              <w:t xml:space="preserve">Consulting Data Scientist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40" w:after="6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Saratoga Springs, NY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Delivered data operations solutions for clients across multiple industries, implementing quality frameworks and enablement strategies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Built data literacy programs and training materials to accelerate adoption of analytics platforms and self-service capabilities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Partnered with VP-level stakeholders to translate business requirements into data architecture and operational frameworks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2400"/>
      </w:tblGrid>
      <w:tr>
        <w:tc>
          <w:tcPr>
            <w:tcW w:type="dxa" w:w="7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200"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Gilead Sciences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200" w:after="0"/>
              <w:jc w:val="righ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January 2023 – March 2025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2400"/>
      </w:tblGrid>
      <w:tr>
        <w:tc>
          <w:tcPr>
            <w:tcW w:type="dxa" w:w="7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40" w:after="60"/>
            </w:pPr>
            <w:r>
              <w:rPr>
                <w:rFonts w:ascii="Calibri" w:cs="Calibri" w:eastAsia="Calibri" w:hAnsi="Calibri"/>
                <w:i/>
                <w:iCs/>
                <w:color w:val="2E6B9E"/>
                <w:sz w:val="20"/>
                <w:szCs w:val="20"/>
              </w:rPr>
              <w:t xml:space="preserve">Director, Insights, Data &amp; Analytics (Medical Affairs)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40" w:after="6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Foster City, CA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Defined and executed enterprise data strategy for Medical Affairs, establishing data ownership models and operational frameworks for healthcare professional and organization reference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Led team of 5 data professionals, building capabilities in data operations, quality management, and analytics enablement while developing succession plans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Built centralized data lake operationalizing multiple vendor sources, implementing quality validation, standardization, and master data management practices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Drove data literacy and adoption through training programs, documentation, and stakeholder engagement across commercial and medical functions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Established formal data requirements and governance policies, partnering with Legal and Compliance to ensure regulatory adherence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Owned vendor management, contracting, and budgeting for data acquisition and platform tools, ensuring cost-effective access to high-quality data assets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2400"/>
      </w:tblGrid>
      <w:tr>
        <w:tc>
          <w:tcPr>
            <w:tcW w:type="dxa" w:w="7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200"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Takeda Pharmaceuticals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200" w:after="0"/>
              <w:jc w:val="righ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May 2021 – December 2022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2400"/>
      </w:tblGrid>
      <w:tr>
        <w:tc>
          <w:tcPr>
            <w:tcW w:type="dxa" w:w="7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40" w:after="60"/>
            </w:pPr>
            <w:r>
              <w:rPr>
                <w:rFonts w:ascii="Calibri" w:cs="Calibri" w:eastAsia="Calibri" w:hAnsi="Calibri"/>
                <w:i/>
                <w:iCs/>
                <w:color w:val="2E6B9E"/>
                <w:sz w:val="20"/>
                <w:szCs w:val="20"/>
              </w:rPr>
              <w:t xml:space="preserve">Associate Director, Digital &amp; Data Science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40" w:after="6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Lexington, MA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Led data operations organization focused on quality management, compliance, and enablement for pharmaceutical manufacturing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Established enterprise data governance frameworks and quality management systems, ensuring data fitness for regulatory submissions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Built training programs and change management initiatives to drive adoption of digital analytics platforms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Served as platform administrator, managing user access, security controls, and enterprise-wide data discovery capabilities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Led cross-functional teams to operationalize data assets and accelerate insights for manufacturing optimization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2400"/>
      </w:tblGrid>
      <w:tr>
        <w:tc>
          <w:tcPr>
            <w:tcW w:type="dxa" w:w="7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200"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Regeneron Pharmaceuticals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200" w:after="0"/>
              <w:jc w:val="righ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May 2016 – May 2021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2400"/>
      </w:tblGrid>
      <w:tr>
        <w:tc>
          <w:tcPr>
            <w:tcW w:type="dxa" w:w="7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40" w:after="60"/>
            </w:pPr>
            <w:r>
              <w:rPr>
                <w:rFonts w:ascii="Calibri" w:cs="Calibri" w:eastAsia="Calibri" w:hAnsi="Calibri"/>
                <w:i/>
                <w:iCs/>
                <w:color w:val="2E6B9E"/>
                <w:sz w:val="20"/>
                <w:szCs w:val="20"/>
              </w:rPr>
              <w:t xml:space="preserve">Senior Process Data Scientist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40" w:after="6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Rensselaer, NY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Built automated data pipelines and quality frameworks supporting biopharmaceutical manufacturing analytics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Established data governance practices, defining ownership and stewardship responsibilities across operations teams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Developed data quality monitoring systems that improved model reliability and regulatory compliance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Partnered with Quality Assurance and Regulatory Affairs to ensure data met requirements for drug development submissions</w:t>
      </w:r>
    </w:p>
    <w:p>
      <w:pPr>
        <w:spacing w:before="160" w:after="8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EDUCATION</w:t>
      </w:r>
    </w:p>
    <w:p>
      <w:pPr>
        <w:pBdr>
          <w:bottom w:val="single" w:color="2E6B9E" w:sz="6"/>
        </w:pBdr>
        <w:spacing w:before="0"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80"/>
        <w:gridCol w:w="1200"/>
      </w:tblGrid>
      <w:tr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Doctor of Philosophy (PhD) in Mathematics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20"/>
              <w:jc w:val="righ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2014</w:t>
            </w:r>
          </w:p>
        </w:tc>
      </w:tr>
    </w:tbl>
    <w:p>
      <w:pPr>
        <w:spacing w:before="20" w:after="20"/>
      </w:pPr>
      <w:r>
        <w:rPr>
          <w:rFonts w:ascii="Calibri" w:cs="Calibri" w:eastAsia="Calibri" w:hAnsi="Calibri"/>
          <w:i/>
          <w:iCs/>
          <w:color w:val="2E6B9E"/>
          <w:sz w:val="20"/>
          <w:szCs w:val="20"/>
        </w:rPr>
        <w:t xml:space="preserve">Virginia Polytechnic Institute &amp; State University</w:t>
      </w:r>
    </w:p>
    <w:p>
      <w:pPr>
        <w:spacing w:before="20" w:after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Dissertation: Optimization and control methods for agent-based models in biological systems</w:t>
      </w:r>
    </w:p>
    <w:p>
      <w:pPr>
        <w:spacing w:before="160" w:after="8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SKILLS &amp; TECHNOLOGIES</w:t>
      </w:r>
    </w:p>
    <w:p>
      <w:pPr>
        <w:pBdr>
          <w:bottom w:val="single" w:color="2E6B9E" w:sz="6"/>
        </w:pBdr>
        <w:spacing w:before="0" w:after="120"/>
      </w:pPr>
    </w:p>
    <w:p>
      <w:pPr>
        <w:spacing w:before="100" w:after="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Data Operations &amp; Enablement: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Data Quality Management  •  Data Governance  •  Master Data Management  •  Data Onboarding  •  Training &amp; Communication  •  Change Management</w:t>
      </w:r>
    </w:p>
    <w:p>
      <w:pPr>
        <w:spacing w:before="100" w:after="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Technical &amp; Analytical: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Python  •  SQL  •  Snowflake  •  Databricks  •  Data Pipeline Development  •  Statistical Analysis</w:t>
      </w:r>
    </w:p>
    <w:p>
      <w:pPr>
        <w:spacing w:before="100" w:after="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Pharmaceutical &amp; Compliance: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FDA Compliance  •  GxP Requirements  •  Healthcare Data Privacy  •  Regulatory Intelligence  •  Quality Systems</w:t>
      </w:r>
    </w:p>
    <w:p>
      <w:pPr>
        <w:spacing w:before="100" w:after="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Leadership &amp; Strategy: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Team Management  •  Vendor Management  •  Stakeholder Engagement  •  Strategic Planning  •  Cross-Functional Leadership</w:t>
      </w:r>
    </w:p>
    <w:p>
      <w:pPr>
        <w:spacing w:before="160" w:after="8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PRESENTATIONS &amp; PUBLICATIONS</w:t>
      </w:r>
    </w:p>
    <w:p>
      <w:pPr>
        <w:pBdr>
          <w:bottom w:val="single" w:color="2E6B9E" w:sz="6"/>
        </w:pBdr>
        <w:spacing w:before="0" w:after="12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CHPA Quality and Manufacturing Meeting (2025) — Solo Presenter: Decoding FDA Enforcement Trends in OTC and Dietary Supplements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ISPE Annual Meeting &amp; Expo (2025) — Solo Presenter: Navigating FDA Compliance - Outsourcing Facility Inspections</w:t>
      </w:r>
    </w:p>
    <w:p>
      <w:pPr>
        <w:spacing w:before="160" w:after="8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PUBLICATIONS</w:t>
      </w:r>
    </w:p>
    <w:p>
      <w:pPr>
        <w:pBdr>
          <w:bottom w:val="single" w:color="2E6B9E" w:sz="6"/>
        </w:pBdr>
        <w:spacing w:before="0" w:after="12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"Optimization and control of agent-based models in biology: a perspective" — Bulletin of Mathematical Biology, 2017</w:t>
      </w:r>
    </w:p>
    <w:sectPr>
      <w:pgSz w:w="12240" w:h="15840" w:orient="portrait"/>
      <w:pgMar w:top="864" w:right="1080" w:bottom="864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2026-02-09T16:08:06.215Z</dcterms:created>
  <dcterms:modified xsi:type="dcterms:W3CDTF">2026-02-09T16:08:06.215Z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