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Matt Oremland, PhD</w:t>
      </w:r>
    </w:p>
    <w:p>
      <w:pPr>
        <w:spacing w:after="120"/>
        <w:jc w:val="center"/>
      </w:pPr>
      <w:r>
        <w:rPr>
          <w:rFonts w:ascii="Calibri" w:cs="Calibri" w:eastAsia="Calibri" w:hAnsi="Calibri"/>
          <w:i/>
          <w:iCs/>
          <w:color w:val="2E6B9E"/>
          <w:sz w:val="24"/>
          <w:szCs w:val="24"/>
        </w:rPr>
        <w:t xml:space="preserve">Director of Data Engineering &amp; Analytics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mattoremland@gmail.com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(518) 560-1473</w:t>
      </w:r>
      <w:r>
        <w:rPr>
          <w:rFonts w:ascii="Calibri" w:cs="Calibri" w:eastAsia="Calibri" w:hAnsi="Calibri"/>
          <w:color w:val="CCCCCC"/>
          <w:sz w:val="18"/>
          <w:szCs w:val="18"/>
        </w:rPr>
        <w:t xml:space="preserve">  •  </w:t>
      </w:r>
      <w:r>
        <w:rPr>
          <w:rFonts w:ascii="Calibri" w:cs="Calibri" w:eastAsia="Calibri" w:hAnsi="Calibri"/>
          <w:color w:val="555555"/>
          <w:sz w:val="18"/>
          <w:szCs w:val="18"/>
        </w:rPr>
        <w:t xml:space="preserve">Saratoga Springs, NY 12866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2E6B9E"/>
          <w:sz w:val="18"/>
          <w:szCs w:val="18"/>
        </w:rPr>
        <w:t xml:space="preserve">https://www.linkedin.com/in/matthew-oremland-31a312101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SUMMARY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40" w:after="16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Data platform leader with 10+ years building scalable analytics infrastructure and leading cross-functional data teams in fast-paced environments. Proven track record establishing data foundations from the ground up, implementing governance frameworks, and translating complex data into actionable business insights. Hands-on technical expertise across modern data stacks (Snowflake, Databricks, Python) combined with player-coach leadership style that balances strategic vision with rolling up sleeves to deliver results. Successfully managed teams of 3-7 through platform migrations, governance implementations, and analytics transformations while maintaining strong stakeholder partnerships across GTM, Product, and Finance organizations.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PROFESSIONAL EXPERIENCE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Redica Systems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April 2025 – February 2026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Director, Data Strategy &amp; Analytics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Remote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data platform from scratch consolidating multi-source FDA regulatory data, designing reference data architecture and implementing data governance frameworks that enabled standardized analytics across pharmaceutical clients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foundational data pipelines and transformation logic in Snowflake, creating reliable single source of truth for risk scoring models and regulatory intelligence dashboards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cross-functional partnerships with client stakeholders including quality leaders and regulatory teams to define KPI frameworks and north star metrics for compliance monitoring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Deployed production ML classifier (OpenAI API) for automated risk categorization, owning end-to-end design, validation, and collaboration with data engineering on production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data-driven insights at industry conferences (CHPA, ISPE) as solo presenter, translating complex analytics into executive-level strategic recommendations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Tidal Wave Analytics LLC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2025 – Present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Consulting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Saratoga Springs,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production quote fingerprinting model in Databricks for building supply software company, implementing nightly batch pipeline and partnering directly with VP of Product and data engineering teams on deployment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Designed and implemented full-stack data application (Escalators puzzle game) handling daily user analytics, leaderboard calculations, and authentication flows using Python, React, Node.js, and Supabase backend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RAG system for tax compliance startup, building data ingestion pipelines for IRS/state tax forms and implementing document retrieval architecture using HuggingFace and PyTorch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Gilead Sciences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January 2023 – March 2025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Director, Insights, Data &amp; Analytics (Medical Affairs)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Foster City, CA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team of 5 analytics engineers and dashboard developers, establishing data operations standards and mentoring team through platform migration and governance implementation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centralized data lake consolidating healthcare professional (HCP) and healthcare organization (HCO) reference data from multiple sources, implementing ETL processes and data quality frameworks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Defined enterprise data strategy and governance frameworks for healthcare reference data, writing formal data requirements and establishing ownership models across cross-functional teams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Managed vendor relationships for data acquisition and cleansing while partnering with internal data engineering teams on pipeline development and standardization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Delivered Spotfire dashboards tracking HCP/HCO interactions and engagements, enabling Medical Affairs leadership to make data-driven strategic decisions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Takeda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2021 – December 2022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Associate Director, Digital &amp; Data Science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Lexington, MA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Led digital and data science group plus statistical monitoring team, balancing hands-on technical delivery with team mentorship and strategic planning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real-time manufacturing quality monitoring dashboards, establishing KPI frameworks and implementing data pipelines for process control metrics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Served as Spotfire system administrator, managing platform governance, user access, and technical standards across manufacturing organization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Authored data requirements and led cross-functional teams through semi-annual APQR (Annual Product Quality Review) process, ensuring data accuracy and stakeholder alignment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2"/>
                <w:szCs w:val="22"/>
              </w:rPr>
              <w:t xml:space="preserve">Regeneron Pharmaceuticals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200" w:after="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May 2016 – May 2021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80"/>
        <w:gridCol w:w="2400"/>
      </w:tblGrid>
      <w:tr>
        <w:tc>
          <w:tcPr>
            <w:tcW w:type="dxa" w:w="7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</w:pPr>
            <w:r>
              <w:rPr>
                <w:rFonts w:ascii="Calibri" w:cs="Calibri" w:eastAsia="Calibri" w:hAnsi="Calibri"/>
                <w:i/>
                <w:iCs/>
                <w:color w:val="2E6B9E"/>
                <w:sz w:val="20"/>
                <w:szCs w:val="20"/>
              </w:rPr>
              <w:t xml:space="preserve">Senior Process Data Scientist</w:t>
            </w:r>
          </w:p>
        </w:tc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before="40" w:after="60"/>
              <w:jc w:val="right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8"/>
                <w:szCs w:val="18"/>
              </w:rPr>
              <w:t xml:space="preserve">Rensselaer, NY</w:t>
            </w:r>
          </w:p>
        </w:tc>
      </w:tr>
    </w:tbl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Built automated data pipelines for biopharmaceutical manufacturing analytics, implementing ingestion, cleaning, and transformation workflows that reduced manual processing time by 70%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Developed predictive models for product quality and feed quantity optimization using ensemble methods, PLS, and PCA, deployed in production manufacturing environment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Established automated limit calculation system, creating reproducible analytical standards that replaced manual processes and improved data consistency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Presented technical analytics solutions to senior leadership and cross-functional stakeholders, translating complex modeling work into actionable operational insights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EDUCATION</w:t>
      </w:r>
    </w:p>
    <w:p>
      <w:pPr>
        <w:pBdr>
          <w:bottom w:val="single" w:color="2E6B9E" w:sz="6"/>
        </w:pBdr>
        <w:spacing w:before="0"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880"/>
        <w:gridCol w:w="1200"/>
      </w:tblGrid>
      <w:tr>
        <w:tc>
          <w:tcPr>
            <w:tcW w:type="dxa" w:w="8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Doctor of Philosophy (PhD) in Mathematics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before="60" w:after="20"/>
              <w:jc w:val="right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2014</w:t>
            </w:r>
          </w:p>
        </w:tc>
      </w:tr>
    </w:tbl>
    <w:p>
      <w:pPr>
        <w:spacing w:before="20" w:after="20"/>
      </w:pPr>
      <w:r>
        <w:rPr>
          <w:rFonts w:ascii="Calibri" w:cs="Calibri" w:eastAsia="Calibri" w:hAnsi="Calibri"/>
          <w:i/>
          <w:iCs/>
          <w:color w:val="2E6B9E"/>
          <w:sz w:val="20"/>
          <w:szCs w:val="20"/>
        </w:rPr>
        <w:t xml:space="preserve">Virginia Polytechnic Institute &amp; State University</w:t>
      </w:r>
    </w:p>
    <w:p>
      <w:pPr>
        <w:spacing w:before="20" w:after="60"/>
      </w:pPr>
      <w:r>
        <w:rPr>
          <w:rFonts w:ascii="Calibri" w:cs="Calibri" w:eastAsia="Calibri" w:hAnsi="Calibri"/>
          <w:color w:val="555555"/>
          <w:sz w:val="18"/>
          <w:szCs w:val="18"/>
        </w:rPr>
        <w:t xml:space="preserve">Dissertation focused on optimization and control methods for complex systems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SKILLS &amp; TECHNOLOGIES</w:t>
      </w:r>
    </w:p>
    <w:p>
      <w:pPr>
        <w:pBdr>
          <w:bottom w:val="single" w:color="2E6B9E" w:sz="6"/>
        </w:pBdr>
        <w:spacing w:before="0" w:after="120"/>
      </w:pP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Data Platforms &amp; Infrastructure: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Snowflake  •  Databricks  •  AWS  •  Supabase  •  Data Warehousing  •  ETL/ELT Pipelines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Programming &amp; Analytics: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Python  •  SQL  •  Pandas  •  Scikit-Learn  •  Data Modeling  •  API Integration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Visualization &amp; BI: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Spotfire  •  Sigma  •  Dashboard Development  •  KPI Framework Design  •  Executive Reporting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Random Forest  •  Ensemble Models  •  LLM Integration (OpenAI)  •  PyTorch  •  HuggingFace  •  Production ML Systems</w:t>
      </w:r>
    </w:p>
    <w:p>
      <w:pPr>
        <w:spacing w:before="100" w:after="4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Leadership &amp; Governance: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Team Management  •  Data Governance  •  Data Strategy  •  Stakeholder Engagement  •  Change Management  •  Vendor Management</w:t>
      </w:r>
    </w:p>
    <w:p>
      <w:pPr>
        <w:spacing w:before="160" w:after="80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PRESENTATIONS &amp; PUBLICATIONS</w:t>
      </w:r>
    </w:p>
    <w:p>
      <w:pPr>
        <w:pBdr>
          <w:bottom w:val="single" w:color="2E6B9E" w:sz="6"/>
        </w:pBdr>
        <w:spacing w:before="0" w:after="12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Quality and Manufacturing Meeting (2025) — Solo Presenter: Decoding FDA Enforcement Trends in OTC and Dietary Supplements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ISPE Annual Meeting &amp; Expo (2025) — Solo Presenter: Navigating FDA Compliance - Outsourcing Facility Inspections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CHPA Regulatory, Scientific &amp; Quality Conference (2025) — Solo Presenter: The Impact of AI on FDA-Regulated Industries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Redica Systems Webinar (2025) — Solo Presenter: From Reactive to Proactive: Leveraging AI/ML to Improve the Quality Unit</w:t>
      </w:r>
    </w:p>
    <w:sectPr>
      <w:pgSz w:w="12240" w:h="15840" w:orient="portrait"/>
      <w:pgMar w:top="864" w:right="1080" w:bottom="864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2026-02-11T20:31:19.402Z</dcterms:created>
  <dcterms:modified xsi:type="dcterms:W3CDTF">2026-02-11T20:31:19.403Z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