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5,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BeOne</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Senior Director, Data Insight</w:t>
      </w:r>
    </w:p>
    <w:p>
      <w:pPr>
        <w:spacing w:before="200" w:after="200"/>
      </w:pPr>
      <w:r>
        <w:rPr>
          <w:rFonts w:ascii="Calibri" w:cs="Calibri" w:eastAsia="Calibri" w:hAnsi="Calibri"/>
          <w:color w:val="555555"/>
          <w:sz w:val="22"/>
          <w:szCs w:val="22"/>
        </w:rPr>
        <w:t xml:space="preserve">I am writing to express my strong interest in the Senior Director, Data Insight position at BeOne. With over 9 years of pharmaceutical industry experience building AI-driven analytics capabilities and leading data transformation initiatives, I am excited by the opportunity to institutionalize data as the foundation for strategic business decisions at your organization.</w:t>
      </w:r>
    </w:p>
    <w:p>
      <w:pPr>
        <w:spacing w:before="200" w:after="200"/>
      </w:pPr>
      <w:r>
        <w:rPr>
          <w:rFonts w:ascii="Calibri" w:cs="Calibri" w:eastAsia="Calibri" w:hAnsi="Calibri"/>
          <w:color w:val="555555"/>
          <w:sz w:val="22"/>
          <w:szCs w:val="22"/>
        </w:rPr>
        <w:t xml:space="preserve">Throughout my career, I have specialized in precisely the transformation you describe - moving organizations from reactive hindsight to predictive foresight. At Redica Systems, I led the development of an enterprise regulatory intelligence platform for pharmaceutical clients including Eli Lilly and Merck, building production LLM classification systems that automatically score FDA enforcement actions and predict compliance risks. This system exemplifies the 'data-to-action' workflow you seek: automated anomaly detection identifies regulatory vulnerabilities, triggers root cause analysis, and enables proactive remediation before issues escalate. The platform consolidates fragmented data sources into a single source of truth on Snowflake, establishing the governance standards and data quality frameworks essential for executive decision-making in FDA-regulated environments.</w:t>
      </w:r>
    </w:p>
    <w:p>
      <w:pPr>
        <w:spacing w:before="200" w:after="200"/>
      </w:pPr>
      <w:r>
        <w:rPr>
          <w:rFonts w:ascii="Calibri" w:cs="Calibri" w:eastAsia="Calibri" w:hAnsi="Calibri"/>
          <w:color w:val="555555"/>
          <w:sz w:val="22"/>
          <w:szCs w:val="22"/>
        </w:rPr>
        <w:t xml:space="preserve">My track record demonstrates the strategic and technical balance this role requires. At Gilead Sciences, I built and led a team of 5 managing healthcare reference data operations, establishing enterprise data governance frameworks and consolidating siloed HCP/HCO data into a centralized lake that became the foundation for Medical Affairs analytics. I authored formal data requirements, managed vendor relationships, and served as strategic advisor to senior leadership - translating complex business questions into analytical frameworks that drove resource allocation decisions. At Takeda, I led predictive modeling initiatives that transitioned manufacturing operations from explaining 'what happened' to forecasting 'what will happen,' deploying real-time monitoring dashboards with automated anomaly detection for quality metrics. These experiences mirror your mission: replacing intuition with evidence, fragmention with system, and manual analysis with scalable AI-driven insights.</w:t>
      </w:r>
    </w:p>
    <w:p>
      <w:pPr>
        <w:spacing w:before="200" w:after="200"/>
      </w:pPr>
      <w:r>
        <w:rPr>
          <w:rFonts w:ascii="Calibri" w:cs="Calibri" w:eastAsia="Calibri" w:hAnsi="Calibri"/>
          <w:color w:val="555555"/>
          <w:sz w:val="22"/>
          <w:szCs w:val="22"/>
        </w:rPr>
        <w:t xml:space="preserve">I am particularly energized by your emphasis on AI strategy and unstructured data utilization. My recent work building RAG systems using HuggingFace and PyTorch to extract insights from regulatory documents, combined with my production deployment of OpenAI-based classification models, demonstrates exactly the NLP/GenAI expertise needed to unlock value from contracts, reports, and logs. I have consistently championed the transition from ad-hoc spreadsheets to reusable, governed data products - whether developing Python visualization frameworks at Redica or administering enterprise Spotfire platforms at Takeda. I understand how to navigate ambiguity, manage organizational resistance, and build high-performing teams in complex, global environments where data culture transformation requires both technical depth and executive influence.</w:t>
      </w:r>
    </w:p>
    <w:p>
      <w:pPr>
        <w:spacing w:before="200" w:after="400"/>
      </w:pPr>
      <w:r>
        <w:rPr>
          <w:rFonts w:ascii="Calibri" w:cs="Calibri" w:eastAsia="Calibri" w:hAnsi="Calibri"/>
          <w:color w:val="555555"/>
          <w:sz w:val="22"/>
          <w:szCs w:val="22"/>
        </w:rPr>
        <w:t xml:space="preserve">I would welcome the opportunity to discuss how my experience leading data transformation initiatives in highly regulated industries can accelerate your vision of making data the default input for critical business decisions. Thank you for your consideration, and I look forward to exploring this opportunity further.</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2026-02-06T14:25:03.745Z</dcterms:created>
  <dcterms:modified xsi:type="dcterms:W3CDTF">2026-02-06T14:25:03.745Z</dcterms:modified>
</cp:coreProperties>
</file>

<file path=docProps/custom.xml><?xml version="1.0" encoding="utf-8"?>
<Properties xmlns="http://schemas.openxmlformats.org/officeDocument/2006/custom-properties" xmlns:vt="http://schemas.openxmlformats.org/officeDocument/2006/docPropsVTypes"/>
</file>