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RSES-Onco methylation methods addendum v0.11.1</w:t>
      </w:r>
    </w:p>
    <w:bookmarkStart w:id="21" w:name="promoter-methylation-analysis"/>
    <w:p>
      <w:pPr>
        <w:pStyle w:val="Heading2"/>
      </w:pPr>
      <w:r>
        <w:t xml:space="preserve">Promoter methylation analysis</w:t>
      </w:r>
    </w:p>
    <w:p>
      <w:pPr>
        <w:pStyle w:val="FirstParagraph"/>
      </w:pPr>
      <w:r>
        <w:t xml:space="preserve">To incorporate epigenetic context without creating an independent evidence domain, open primary-tumor DNA methylation beta-value files were queried from the NCI Genomic Data Commons for TCGA-COAD, TCGA-READ, TCGA-STAD, TCGA-LUAD and TCGA-LUSC. The analysis used GDC-harmonized SeSAMe methylation-array outputs and the official GDC GENCODE-v36 probe annotations for HM27, HM450 and EPIC arrays.</w:t>
      </w:r>
    </w:p>
    <w:p>
      <w:pPr>
        <w:pStyle w:val="BodyText"/>
      </w:pPr>
      <w:r>
        <w:t xml:space="preserve">Promoter-associated probes were defined using the official annotation as probes located from 2 kb upstream to 500 bp downstream of a transcription start site or classified in promoter/TSS-related groups. Masked probes were removed when the GDC general-mask field was available. Promoter methylation for each gene and sample was represented by the median beta-value across retained promoter probes.</w:t>
      </w:r>
    </w:p>
    <w:p>
      <w:pPr>
        <w:pStyle w:val="BodyText"/>
      </w:pPr>
      <w:r>
        <w:t xml:space="preserve">For each directional candidate pair and cancer context, promoter beta-values for the hypothesized lost gene and target/paralog were matched within samples. Analyses required at least 10 paired samples. The workflow calculated median beta-values, median paired delta beta, Spearman correlation, a one-sided paired Wilcoxon test and Benjamini-Hochberg-adjusted P values. The directional promoter-methylation context score was defined as the median promoter beta of the hypothesized lost gene multiplied by one minus the median promoter beta of the target gene.</w:t>
      </w:r>
    </w:p>
    <w:p>
      <w:pPr>
        <w:pStyle w:val="BodyText"/>
      </w:pPr>
      <w:r>
        <w:t xml:space="preserve">Promoter methylation was integrated inside the existing expression-compensation domain. The global expression-compensation weight remained 0.08, while its internal subweights were 0.70 for event-stratified expression compensation and 0.30 for promoter methylation context. The internal score was coverage-adjusted, so missing methylation reduced subcoverage but was not interpreted as biological zero. GDC methylation was applied only to the integrated TCGA-DepMap ranking and not to the DepMap-only ranking. Methylation beta-values were treated as epigenetic context and not as direct proof of gene silencing.</w:t>
      </w:r>
    </w:p>
    <w:bookmarkStart w:id="20" w:name="methylation-references"/>
    <w:p>
      <w:pPr>
        <w:pStyle w:val="Heading3"/>
      </w:pPr>
      <w:r>
        <w:t xml:space="preserve">Methylation references</w:t>
      </w:r>
    </w:p>
    <w:p>
      <w:pPr>
        <w:numPr>
          <w:ilvl w:val="0"/>
          <w:numId w:val="1001"/>
        </w:numPr>
        <w:pStyle w:val="Compact"/>
      </w:pPr>
      <w:r>
        <w:t xml:space="preserve">National Cancer Institute. Genomic Data Commons DNA methylation array harmonization documentation.</w:t>
      </w:r>
    </w:p>
    <w:p>
      <w:pPr>
        <w:numPr>
          <w:ilvl w:val="0"/>
          <w:numId w:val="1001"/>
        </w:numPr>
        <w:pStyle w:val="Compact"/>
      </w:pPr>
      <w:r>
        <w:t xml:space="preserve">Zhou W, Triche TJ Jr, Laird PW, Shen H. SeSAMe: reducing artifactual detection of DNA methylation by Infinium BeadChips in genomic deletions.</w:t>
      </w:r>
      <w:r>
        <w:t xml:space="preserve"> </w:t>
      </w:r>
      <w:r>
        <w:rPr>
          <w:iCs/>
          <w:i/>
        </w:rPr>
        <w:t xml:space="preserve">Nucleic Acids Research</w:t>
      </w:r>
      <w:r>
        <w:t xml:space="preserve">. 2018;46:e123.</w:t>
      </w:r>
    </w:p>
    <w:p>
      <w:pPr>
        <w:numPr>
          <w:ilvl w:val="0"/>
          <w:numId w:val="1001"/>
        </w:numPr>
        <w:pStyle w:val="Compact"/>
      </w:pPr>
      <w:r>
        <w:t xml:space="preserve">Bibikova M, Barnes B, Tsan C, et al. High density DNA methylation array with single CpG site resolution.</w:t>
      </w:r>
      <w:r>
        <w:t xml:space="preserve"> </w:t>
      </w:r>
      <w:r>
        <w:rPr>
          <w:iCs/>
          <w:i/>
        </w:rPr>
        <w:t xml:space="preserve">Genomics</w:t>
      </w:r>
      <w:r>
        <w:t xml:space="preserve">. 2011;98:288-295.</w:t>
      </w:r>
    </w:p>
    <w:p>
      <w:pPr>
        <w:numPr>
          <w:ilvl w:val="0"/>
          <w:numId w:val="1001"/>
        </w:numPr>
        <w:pStyle w:val="Compact"/>
      </w:pPr>
      <w:r>
        <w:t xml:space="preserve">Moran S, Arribas C, Esteller M. Validation of a DNA methylation microarray for 850,000 CpG sites of the human genome enriched in enhancer sequences.</w:t>
      </w:r>
      <w:r>
        <w:t xml:space="preserve"> </w:t>
      </w:r>
      <w:r>
        <w:rPr>
          <w:iCs/>
          <w:i/>
        </w:rPr>
        <w:t xml:space="preserve">Epigenomics</w:t>
      </w:r>
      <w:r>
        <w:t xml:space="preserve">. 2016;8:389-399.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RSES-Onco methylation methods addendum v0.11.1</dc:title>
  <dc:creator/>
  <cp:keywords/>
  <dcterms:created xsi:type="dcterms:W3CDTF">2026-07-23T06:07:19Z</dcterms:created>
  <dcterms:modified xsi:type="dcterms:W3CDTF">2026-07-23T06:07:19Z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