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4"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p>
      <w:pPr>
        <w:pStyle w:val="FirstParagraph"/>
      </w:pPr>
      <w:r>
        <w:t xml:space="preserve">Promoter methylation was incorporated as an epigenetic subcomponent of the regulatory-network microniche domain. The analysis supported the DepMap</w:t>
      </w:r>
      <w:r>
        <w:t xml:space="preserve"> </w:t>
      </w:r>
      <w:r>
        <w:rPr>
          <w:rStyle w:val="VerbatimChar"/>
        </w:rPr>
        <w:t xml:space="preserve">Methylation (1kb upstream TSS)</w:t>
      </w:r>
      <w:r>
        <w:t xml:space="preserve"> </w:t>
      </w:r>
      <w:r>
        <w:t xml:space="preserve">custom-download matrix and the historical CCLE RRBS TSS1kb matrix. Multiple promoter features assigned to the same gene were collapsed by the median within each model.</w:t>
      </w:r>
    </w:p>
    <w:p>
      <w:pPr>
        <w:pStyle w:val="BodyText"/>
      </w:pPr>
      <w:r>
        <w:t xml:space="preserve">For each candidate pair and cancer lineage, the analysis quantified divergence between the lost- and target-gene promoter-methylation profiles and tested whether target-promoter methylation was lower in models with loss of the origin gene than in intact models. The latter comparison used a Mann-Whitney U test, with Benjamini-Hochberg adjustment globally and within cancer context. The methylation context combined pair-profile divergence and conditional target hypomethylation with equal internal weights and explicit missing-data coverage.</w:t>
      </w:r>
    </w:p>
    <w:p>
      <w:pPr>
        <w:pStyle w:val="BodyText"/>
      </w:pPr>
      <w:r>
        <w:t xml:space="preserve">Methylation shared the existing regulatory-network domain with DoRothEA TF associations, TF-expression consistency and JASPAR/FIMO promoter-motif evidence. Its inclusion did not alter the seven top-level RSES-Onco weights. Promoter methylation was considered association evidence and not direct proof of transcriptional silencing or causal compensation.</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2026-07-23T06:20:45Z</dcterms:created>
  <dcterms:modified xsi:type="dcterms:W3CDTF">2026-07-23T06:20:45Z</dcterms:modified>
</cp:coreProperties>
</file>

<file path=docProps/custom.xml><?xml version="1.0" encoding="utf-8"?>
<Properties xmlns="http://schemas.openxmlformats.org/officeDocument/2006/custom-properties" xmlns:vt="http://schemas.openxmlformats.org/officeDocument/2006/docPropsVTypes"/>
</file>