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3"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2" w:name="promoter-methylation-methods"/>
    <w:p>
      <w:pPr>
        <w:pStyle w:val="Heading2"/>
      </w:pPr>
      <w:r>
        <w:t xml:space="preserve">Promoter methylation methods</w:t>
      </w:r>
    </w:p>
    <w:p>
      <w:pPr>
        <w:pStyle w:val="FirstParagraph"/>
      </w:pPr>
      <w:r>
        <w:t xml:space="preserve">Promoter methylation was evaluated from the DepMap custom-download dataset</w:t>
      </w:r>
      <w:r>
        <w:t xml:space="preserve"> </w:t>
      </w:r>
      <w:r>
        <w:rPr>
          <w:rStyle w:val="VerbatimChar"/>
        </w:rPr>
        <w:t xml:space="preserve">Methylation (1kb upstream TSS)</w:t>
      </w:r>
      <w:r>
        <w:t xml:space="preserve"> </w:t>
      </w:r>
      <w:r>
        <w:t xml:space="preserve">or the historical</w:t>
      </w:r>
      <w:r>
        <w:t xml:space="preserve"> </w:t>
      </w:r>
      <w:r>
        <w:rPr>
          <w:rStyle w:val="VerbatimChar"/>
        </w:rPr>
        <w:t xml:space="preserve">CCLE_RRBS_TSS1kb_20181022</w:t>
      </w:r>
      <w:r>
        <w:t xml:space="preserve"> </w:t>
      </w:r>
      <w:r>
        <w:t xml:space="preserve">matrix. Model or cell-line identifiers were mapped through</w:t>
      </w:r>
      <w:r>
        <w:t xml:space="preserve"> </w:t>
      </w:r>
      <w:r>
        <w:rPr>
          <w:rStyle w:val="VerbatimChar"/>
        </w:rPr>
        <w:t xml:space="preserve">Model.csv</w:t>
      </w:r>
      <w:r>
        <w:t xml:space="preserve">. Multiple promoter/TSS measurements assigned to the same gene were collapsed by the median within each model, while missing values remained missing.</w:t>
      </w:r>
    </w:p>
    <w:p>
      <w:pPr>
        <w:pStyle w:val="BodyText"/>
      </w:pPr>
      <w:r>
        <w:t xml:space="preserve">For a directional pair with lost gene</w:t>
      </w:r>
      <w:r>
        <w:t xml:space="preserve"> </w:t>
      </w:r>
      <m:oMath>
        <m:r>
          <m:t>L</m:t>
        </m:r>
      </m:oMath>
      <w:r>
        <w:t xml:space="preserve"> </w:t>
      </w:r>
      <w:r>
        <w:t xml:space="preserve">and target gene</w:t>
      </w:r>
      <w:r>
        <w:t xml:space="preserve"> </w:t>
      </w:r>
      <m:oMath>
        <m:r>
          <m:t>T</m:t>
        </m:r>
      </m:oMath>
      <w:r>
        <w:t xml:space="preserve">, methylation profile divergence combined Spearman correlation divergence and the median absolute beta-value difference:</w:t>
      </w:r>
    </w:p>
    <w:p>
      <w:pPr>
        <w:pStyle w:val="BodyText"/>
      </w:pPr>
      <m:oMathPara>
        <m:oMathParaPr>
          <m:jc m:val="center"/>
        </m:oMathParaPr>
        <m:oMath>
          <m:sSub>
            <m:e>
              <m:r>
                <m:t>D</m:t>
              </m:r>
            </m:e>
            <m:sub>
              <m:r>
                <m:t>p</m:t>
              </m:r>
              <m:r>
                <m:t>r</m:t>
              </m:r>
              <m:r>
                <m:t>o</m:t>
              </m:r>
              <m:r>
                <m:t>f</m:t>
              </m:r>
              <m:r>
                <m:t>i</m:t>
              </m:r>
              <m:r>
                <m:t>l</m:t>
              </m:r>
              <m:r>
                <m:t>e</m:t>
              </m:r>
            </m:sub>
          </m:sSub>
          <m:r>
            <m:rPr>
              <m:sty m:val="p"/>
            </m:rPr>
            <m:t>=</m:t>
          </m:r>
          <m:r>
            <m:rPr>
              <m:sty m:val="p"/>
            </m:rPr>
            <m:t>mean</m:t>
          </m:r>
          <m:d>
            <m:dPr>
              <m:begChr m:val="("/>
              <m:endChr m:val=")"/>
              <m:sepChr m:val=""/>
              <m:grow/>
            </m:dPr>
            <m:e>
              <m:f>
                <m:fPr>
                  <m:type m:val="bar"/>
                </m:fPr>
                <m:num>
                  <m:r>
                    <m:t>1</m:t>
                  </m:r>
                  <m:r>
                    <m:rPr>
                      <m:sty m:val="p"/>
                    </m:rPr>
                    <m:t>−</m:t>
                  </m:r>
                  <m:sSub>
                    <m:e>
                      <m:r>
                        <m:t>ρ</m:t>
                      </m:r>
                    </m:e>
                    <m:sub>
                      <m:r>
                        <m:t>L</m:t>
                      </m:r>
                      <m:r>
                        <m:rPr>
                          <m:sty m:val="p"/>
                        </m:rPr>
                        <m:t>,</m:t>
                      </m:r>
                      <m:r>
                        <m:t>T</m:t>
                      </m:r>
                    </m:sub>
                  </m:sSub>
                </m:num>
                <m:den>
                  <m:r>
                    <m:t>2</m:t>
                  </m:r>
                </m:den>
              </m:f>
              <m:r>
                <m:rPr>
                  <m:sty m:val="p"/>
                </m:rPr>
                <m:t>,</m:t>
              </m:r>
              <m:r>
                <m:rPr>
                  <m:sty m:val="p"/>
                </m:rPr>
                <m:t>clip</m:t>
              </m:r>
              <m:d>
                <m:dPr>
                  <m:begChr m:val="("/>
                  <m:endChr m:val=")"/>
                  <m:sepChr m:val=""/>
                  <m:grow/>
                </m:dPr>
                <m:e>
                  <m:f>
                    <m:fPr>
                      <m:type m:val="bar"/>
                    </m:fPr>
                    <m:num>
                      <m:acc>
                        <m:accPr>
                          <m:chr m:val="̃"/>
                        </m:accPr>
                        <m:e>
                          <m:d>
                            <m:dPr>
                              <m:begChr m:val="|"/>
                              <m:endChr m:val="|"/>
                              <m:sepChr m:val=""/>
                              <m:grow/>
                            </m:dPr>
                            <m:e>
                              <m:sSub>
                                <m:e>
                                  <m:r>
                                    <m:t>β</m:t>
                                  </m:r>
                                </m:e>
                                <m:sub>
                                  <m:r>
                                    <m:t>L</m:t>
                                  </m:r>
                                </m:sub>
                              </m:sSub>
                              <m:r>
                                <m:rPr>
                                  <m:sty m:val="p"/>
                                </m:rPr>
                                <m:t>−</m:t>
                              </m:r>
                              <m:sSub>
                                <m:e>
                                  <m:r>
                                    <m:t>β</m:t>
                                  </m:r>
                                </m:e>
                                <m:sub>
                                  <m:r>
                                    <m:t>T</m:t>
                                  </m:r>
                                </m:sub>
                              </m:sSub>
                            </m:e>
                          </m:d>
                        </m:e>
                      </m:acc>
                    </m:num>
                    <m:den>
                      <m:r>
                        <m:t>0.25</m:t>
                      </m:r>
                    </m:den>
                  </m:f>
                  <m:r>
                    <m:rPr>
                      <m:sty m:val="p"/>
                    </m:rPr>
                    <m:t>,</m:t>
                  </m:r>
                  <m:r>
                    <m:t>0</m:t>
                  </m:r>
                  <m:r>
                    <m:rPr>
                      <m:sty m:val="p"/>
                    </m:rPr>
                    <m:t>,</m:t>
                  </m:r>
                  <m:r>
                    <m:t>1</m:t>
                  </m:r>
                </m:e>
              </m:d>
            </m:e>
          </m:d>
        </m:oMath>
      </m:oMathPara>
    </w:p>
    <w:p>
      <w:pPr>
        <w:pStyle w:val="FirstParagraph"/>
      </w:pPr>
      <w:r>
        <w:t xml:space="preserve">Models were also stratified by the same copy-number loss threshold used in dependency and expression analyses. Conditional target hypomethylation support was:</w:t>
      </w:r>
    </w:p>
    <w:p>
      <w:pPr>
        <w:pStyle w:val="BodyText"/>
      </w:pPr>
      <m:oMathPara>
        <m:oMathParaPr>
          <m:jc m:val="center"/>
        </m:oMathParaPr>
        <m:oMath>
          <m:sSub>
            <m:e>
              <m:r>
                <m:t>H</m:t>
              </m:r>
            </m:e>
            <m:sub>
              <m:r>
                <m:t>T</m:t>
              </m:r>
            </m:sub>
          </m:sSub>
          <m:r>
            <m:rPr>
              <m:sty m:val="p"/>
            </m:rPr>
            <m:t>=</m:t>
          </m:r>
          <m:r>
            <m:rPr>
              <m:sty m:val="p"/>
            </m:rPr>
            <m:t>clip</m:t>
          </m:r>
          <m:d>
            <m:dPr>
              <m:begChr m:val="("/>
              <m:endChr m:val=")"/>
              <m:sepChr m:val=""/>
              <m:grow/>
            </m:dPr>
            <m:e>
              <m:f>
                <m:fPr>
                  <m:type m:val="bar"/>
                </m:fPr>
                <m:num>
                  <m:r>
                    <m:rPr>
                      <m:sty m:val="p"/>
                    </m:rPr>
                    <m:t>−</m:t>
                  </m:r>
                  <m:d>
                    <m:dPr>
                      <m:begChr m:val="("/>
                      <m:endChr m:val=")"/>
                      <m:sepChr m:val=""/>
                      <m:grow/>
                    </m:dPr>
                    <m:e>
                      <m:sSub>
                        <m:e>
                          <m:acc>
                            <m:accPr>
                              <m:chr m:val="̃"/>
                            </m:accPr>
                            <m:e>
                              <m:r>
                                <m:t>β</m:t>
                              </m:r>
                            </m:e>
                          </m:acc>
                        </m:e>
                        <m:sub>
                          <m:r>
                            <m:t>T</m:t>
                          </m:r>
                          <m:r>
                            <m:rPr>
                              <m:sty m:val="p"/>
                            </m:rPr>
                            <m:t>,</m:t>
                          </m:r>
                          <m:r>
                            <m:t>l</m:t>
                          </m:r>
                          <m:r>
                            <m:t>o</m:t>
                          </m:r>
                          <m:r>
                            <m:t>s</m:t>
                          </m:r>
                          <m:r>
                            <m:t>s</m:t>
                          </m:r>
                        </m:sub>
                      </m:sSub>
                      <m:r>
                        <m:rPr>
                          <m:sty m:val="p"/>
                        </m:rPr>
                        <m:t>−</m:t>
                      </m:r>
                      <m:sSub>
                        <m:e>
                          <m:acc>
                            <m:accPr>
                              <m:chr m:val="̃"/>
                            </m:accPr>
                            <m:e>
                              <m:r>
                                <m:t>β</m:t>
                              </m:r>
                            </m:e>
                          </m:acc>
                        </m:e>
                        <m:sub>
                          <m:r>
                            <m:t>T</m:t>
                          </m:r>
                          <m:r>
                            <m:rPr>
                              <m:sty m:val="p"/>
                            </m:rPr>
                            <m:t>,</m:t>
                          </m:r>
                          <m:r>
                            <m:t>i</m:t>
                          </m:r>
                          <m:r>
                            <m:t>n</m:t>
                          </m:r>
                          <m:r>
                            <m:t>t</m:t>
                          </m:r>
                          <m:r>
                            <m:t>a</m:t>
                          </m:r>
                          <m:r>
                            <m:t>c</m:t>
                          </m:r>
                          <m:r>
                            <m:t>t</m:t>
                          </m:r>
                        </m:sub>
                      </m:sSub>
                    </m:e>
                  </m:d>
                </m:num>
                <m:den>
                  <m:r>
                    <m:t>0.25</m:t>
                  </m:r>
                </m:den>
              </m:f>
              <m:r>
                <m:rPr>
                  <m:sty m:val="p"/>
                </m:rPr>
                <m:t>,</m:t>
              </m:r>
              <m:r>
                <m:t>0</m:t>
              </m:r>
              <m:r>
                <m:rPr>
                  <m:sty m:val="p"/>
                </m:rPr>
                <m:t>,</m:t>
              </m:r>
              <m:r>
                <m:t>1</m:t>
              </m:r>
            </m:e>
          </m:d>
        </m:oMath>
      </m:oMathPara>
    </w:p>
    <w:p>
      <w:pPr>
        <w:pStyle w:val="FirstParagraph"/>
      </w:pPr>
      <w:r>
        <w:t xml:space="preserve">The methylation context combined the two available terms with equal internal weights:</w:t>
      </w:r>
    </w:p>
    <w:p>
      <w:pPr>
        <w:pStyle w:val="BodyText"/>
      </w:pPr>
      <m:oMathPara>
        <m:oMathParaPr>
          <m:jc m:val="center"/>
        </m:oMathParaPr>
        <m:oMath>
          <m:r>
            <m:t>M</m:t>
          </m:r>
          <m:r>
            <m:rPr>
              <m:sty m:val="p"/>
            </m:rPr>
            <m:t>=</m:t>
          </m:r>
          <m:r>
            <m:t>0.50</m:t>
          </m:r>
          <m:sSub>
            <m:e>
              <m:r>
                <m:t>D</m:t>
              </m:r>
            </m:e>
            <m:sub>
              <m:r>
                <m:t>p</m:t>
              </m:r>
              <m:r>
                <m:t>r</m:t>
              </m:r>
              <m:r>
                <m:t>o</m:t>
              </m:r>
              <m:r>
                <m:t>f</m:t>
              </m:r>
              <m:r>
                <m:t>i</m:t>
              </m:r>
              <m:r>
                <m:t>l</m:t>
              </m:r>
              <m:r>
                <m:t>e</m:t>
              </m:r>
            </m:sub>
          </m:sSub>
          <m:r>
            <m:rPr>
              <m:sty m:val="p"/>
            </m:rPr>
            <m:t>+</m:t>
          </m:r>
          <m:r>
            <m:t>0.50</m:t>
          </m:r>
          <m:sSub>
            <m:e>
              <m:r>
                <m:t>H</m:t>
              </m:r>
            </m:e>
            <m:sub>
              <m:r>
                <m:t>T</m:t>
              </m:r>
            </m:sub>
          </m:sSub>
        </m:oMath>
      </m:oMathPara>
    </w:p>
    <w:p>
      <w:pPr>
        <w:pStyle w:val="FirstParagraph"/>
      </w:pPr>
      <w:r>
        <w:t xml:space="preserve">with eligibility-aware subcoverage when either term was missing. The regulatory-network internal composition was 0.32 DoRothEA TF-association divergence, 0.28 TF-expression-profile divergence, 0.20 JASPAR/FIMO promoter-motif divergence and 0.20 promoter-methylation context. The global regulatory-network weight and all seven top-level RSES-Onco weights were unchanged.</w:t>
      </w:r>
    </w:p>
    <w:p>
      <w:pPr>
        <w:pStyle w:val="BodyText"/>
      </w:pPr>
      <w:r>
        <w:t xml:space="preserve">Methylation values were treated as association evidence. They were not interpreted automatically as direct causal silencing, promoter occupancy, compensatory transcription, synthetic lethality, therapeutic validation or clinical efficacy.</w:t>
      </w:r>
    </w:p>
    <w:bookmarkStart w:id="51" w:name="promoter-methylation-references"/>
    <w:p>
      <w:pPr>
        <w:pStyle w:val="Heading3"/>
      </w:pPr>
      <w:r>
        <w:t xml:space="preserve">Promoter methylation references</w:t>
      </w:r>
    </w:p>
    <w:p>
      <w:pPr>
        <w:numPr>
          <w:ilvl w:val="0"/>
          <w:numId w:val="1019"/>
        </w:numPr>
        <w:pStyle w:val="Compact"/>
      </w:pPr>
      <w:r>
        <w:t xml:space="preserve">DepMap Project. Custom downloads and cell-line molecular data resources.</w:t>
      </w:r>
    </w:p>
    <w:p>
      <w:pPr>
        <w:numPr>
          <w:ilvl w:val="0"/>
          <w:numId w:val="1019"/>
        </w:numPr>
        <w:pStyle w:val="Compact"/>
      </w:pPr>
      <w:r>
        <w:t xml:space="preserve">Ghandi M, Huang FW, Jané-Valbuena J, et al. Next-generation characterization of the Cancer Cell Line Encyclopedia.</w:t>
      </w:r>
      <w:r>
        <w:t xml:space="preserve"> </w:t>
      </w:r>
      <w:r>
        <w:rPr>
          <w:iCs/>
          <w:i/>
        </w:rPr>
        <w:t xml:space="preserve">Nature</w:t>
      </w:r>
      <w:r>
        <w:t xml:space="preserve">. 2019;569:503-508.</w:t>
      </w:r>
    </w:p>
    <w:p>
      <w:pPr>
        <w:numPr>
          <w:ilvl w:val="0"/>
          <w:numId w:val="1019"/>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2026-07-23T06:19:46Z</dcterms:created>
  <dcterms:modified xsi:type="dcterms:W3CDTF">2026-07-23T06:19:46Z</dcterms:modified>
</cp:coreProperties>
</file>

<file path=docProps/custom.xml><?xml version="1.0" encoding="utf-8"?>
<Properties xmlns="http://schemas.openxmlformats.org/officeDocument/2006/custom-properties" xmlns:vt="http://schemas.openxmlformats.org/officeDocument/2006/docPropsVTypes"/>
</file>