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v0.11.1</w:t>
      </w:r>
    </w:p>
    <w:bookmarkStart w:id="54"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w:t>
      </w:r>
      <w:r>
        <w:t xml:space="preserve"> </w:t>
      </w:r>
      <w:r>
        <w:t xml:space="preserve">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bookmarkEnd w:id="50"/>
    <w:bookmarkStart w:id="52" w:name="promoter-methylation-methods"/>
    <w:p>
      <w:pPr>
        <w:pStyle w:val="Heading2"/>
      </w:pPr>
      <w:r>
        <w:t xml:space="preserve">Promoter methylation methods</w:t>
      </w:r>
    </w:p>
    <w:p>
      <w:pPr>
        <w:pStyle w:val="FirstParagraph"/>
      </w:pPr>
      <w:r>
        <w:t xml:space="preserve">Promoter methylation was evaluated from the DepMap custom-download dataset</w:t>
      </w:r>
      <w:r>
        <w:t xml:space="preserve"> </w:t>
      </w:r>
      <w:r>
        <w:rPr>
          <w:rStyle w:val="VerbatimChar"/>
        </w:rPr>
        <w:t xml:space="preserve">Methylation (1kb upstream TSS)</w:t>
      </w:r>
      <w:r>
        <w:t xml:space="preserve"> </w:t>
      </w:r>
      <w:r>
        <w:t xml:space="preserve">or the historical</w:t>
      </w:r>
      <w:r>
        <w:t xml:space="preserve"> </w:t>
      </w:r>
      <w:r>
        <w:rPr>
          <w:rStyle w:val="VerbatimChar"/>
        </w:rPr>
        <w:t xml:space="preserve">CCLE_RRBS_TSS1kb_20181022</w:t>
      </w:r>
      <w:r>
        <w:t xml:space="preserve"> </w:t>
      </w:r>
      <w:r>
        <w:t xml:space="preserve">matrix. Model or cell-line identifiers were mapped through</w:t>
      </w:r>
      <w:r>
        <w:t xml:space="preserve"> </w:t>
      </w:r>
      <w:r>
        <w:rPr>
          <w:rStyle w:val="VerbatimChar"/>
        </w:rPr>
        <w:t xml:space="preserve">Model.csv</w:t>
      </w:r>
      <w:r>
        <w:t xml:space="preserve">. Multiple promoter/TSS measurements assigned to the same gene were collapsed by the median within each model, while missing values remained missing.</w:t>
      </w:r>
    </w:p>
    <w:p>
      <w:pPr>
        <w:pStyle w:val="BodyText"/>
      </w:pPr>
      <w:r>
        <w:t xml:space="preserve">For a directional pair with lost gene</w:t>
      </w:r>
      <w:r>
        <w:t xml:space="preserve"> </w:t>
      </w:r>
      <m:oMath>
        <m:r>
          <m:t>L</m:t>
        </m:r>
      </m:oMath>
      <w:r>
        <w:t xml:space="preserve"> </w:t>
      </w:r>
      <w:r>
        <w:t xml:space="preserve">and target gene</w:t>
      </w:r>
      <w:r>
        <w:t xml:space="preserve"> </w:t>
      </w:r>
      <m:oMath>
        <m:r>
          <m:t>T</m:t>
        </m:r>
      </m:oMath>
      <w:r>
        <w:t xml:space="preserve">, methylation profile divergence combined Spearman correlation divergence and the median absolute beta-value difference:</w:t>
      </w:r>
    </w:p>
    <w:p>
      <w:pPr>
        <w:pStyle w:val="BodyText"/>
      </w:pPr>
      <m:oMathPara>
        <m:oMathParaPr>
          <m:jc m:val="center"/>
        </m:oMathParaPr>
        <m:oMath>
          <m:sSub>
            <m:e>
              <m:r>
                <m:t>D</m:t>
              </m:r>
            </m:e>
            <m:sub>
              <m:r>
                <m:t>p</m:t>
              </m:r>
              <m:r>
                <m:t>r</m:t>
              </m:r>
              <m:r>
                <m:t>o</m:t>
              </m:r>
              <m:r>
                <m:t>f</m:t>
              </m:r>
              <m:r>
                <m:t>i</m:t>
              </m:r>
              <m:r>
                <m:t>l</m:t>
              </m:r>
              <m:r>
                <m:t>e</m:t>
              </m:r>
            </m:sub>
          </m:sSub>
          <m:r>
            <m:rPr>
              <m:sty m:val="p"/>
            </m:rPr>
            <m:t>=</m:t>
          </m:r>
          <m:r>
            <m:rPr>
              <m:sty m:val="p"/>
            </m:rPr>
            <m:t>mean</m:t>
          </m:r>
          <m:d>
            <m:dPr>
              <m:begChr m:val="("/>
              <m:endChr m:val=")"/>
              <m:sepChr m:val=""/>
              <m:grow/>
            </m:dPr>
            <m:e>
              <m:f>
                <m:fPr>
                  <m:type m:val="bar"/>
                </m:fPr>
                <m:num>
                  <m:r>
                    <m:t>1</m:t>
                  </m:r>
                  <m:r>
                    <m:rPr>
                      <m:sty m:val="p"/>
                    </m:rPr>
                    <m:t>−</m:t>
                  </m:r>
                  <m:sSub>
                    <m:e>
                      <m:r>
                        <m:t>ρ</m:t>
                      </m:r>
                    </m:e>
                    <m:sub>
                      <m:r>
                        <m:t>L</m:t>
                      </m:r>
                      <m:r>
                        <m:rPr>
                          <m:sty m:val="p"/>
                        </m:rPr>
                        <m:t>,</m:t>
                      </m:r>
                      <m:r>
                        <m:t>T</m:t>
                      </m:r>
                    </m:sub>
                  </m:sSub>
                </m:num>
                <m:den>
                  <m:r>
                    <m:t>2</m:t>
                  </m:r>
                </m:den>
              </m:f>
              <m:r>
                <m:rPr>
                  <m:sty m:val="p"/>
                </m:rPr>
                <m:t>,</m:t>
              </m:r>
              <m:r>
                <m:rPr>
                  <m:sty m:val="p"/>
                </m:rPr>
                <m:t>clip</m:t>
              </m:r>
              <m:d>
                <m:dPr>
                  <m:begChr m:val="("/>
                  <m:endChr m:val=")"/>
                  <m:sepChr m:val=""/>
                  <m:grow/>
                </m:dPr>
                <m:e>
                  <m:f>
                    <m:fPr>
                      <m:type m:val="bar"/>
                    </m:fPr>
                    <m:num>
                      <m:acc>
                        <m:accPr>
                          <m:chr m:val="̃"/>
                        </m:accPr>
                        <m:e>
                          <m:d>
                            <m:dPr>
                              <m:begChr m:val="|"/>
                              <m:endChr m:val="|"/>
                              <m:sepChr m:val=""/>
                              <m:grow/>
                            </m:dPr>
                            <m:e>
                              <m:sSub>
                                <m:e>
                                  <m:r>
                                    <m:t>β</m:t>
                                  </m:r>
                                </m:e>
                                <m:sub>
                                  <m:r>
                                    <m:t>L</m:t>
                                  </m:r>
                                </m:sub>
                              </m:sSub>
                              <m:r>
                                <m:rPr>
                                  <m:sty m:val="p"/>
                                </m:rPr>
                                <m:t>−</m:t>
                              </m:r>
                              <m:sSub>
                                <m:e>
                                  <m:r>
                                    <m:t>β</m:t>
                                  </m:r>
                                </m:e>
                                <m:sub>
                                  <m:r>
                                    <m:t>T</m:t>
                                  </m:r>
                                </m:sub>
                              </m:sSub>
                            </m:e>
                          </m:d>
                        </m:e>
                      </m:acc>
                    </m:num>
                    <m:den>
                      <m:r>
                        <m:t>0.25</m:t>
                      </m:r>
                    </m:den>
                  </m:f>
                  <m:r>
                    <m:rPr>
                      <m:sty m:val="p"/>
                    </m:rPr>
                    <m:t>,</m:t>
                  </m:r>
                  <m:r>
                    <m:t>0</m:t>
                  </m:r>
                  <m:r>
                    <m:rPr>
                      <m:sty m:val="p"/>
                    </m:rPr>
                    <m:t>,</m:t>
                  </m:r>
                  <m:r>
                    <m:t>1</m:t>
                  </m:r>
                </m:e>
              </m:d>
            </m:e>
          </m:d>
        </m:oMath>
      </m:oMathPara>
    </w:p>
    <w:p>
      <w:pPr>
        <w:pStyle w:val="FirstParagraph"/>
      </w:pPr>
      <w:r>
        <w:t xml:space="preserve">Models were also stratified by the same copy-number loss threshold used in dependency and expression analyses. Conditional target hypomethylation support was:</w:t>
      </w:r>
    </w:p>
    <w:p>
      <w:pPr>
        <w:pStyle w:val="BodyText"/>
      </w:pPr>
      <m:oMathPara>
        <m:oMathParaPr>
          <m:jc m:val="center"/>
        </m:oMathParaPr>
        <m:oMath>
          <m:sSub>
            <m:e>
              <m:r>
                <m:t>H</m:t>
              </m:r>
            </m:e>
            <m:sub>
              <m:r>
                <m:t>T</m:t>
              </m:r>
            </m:sub>
          </m:sSub>
          <m:r>
            <m:rPr>
              <m:sty m:val="p"/>
            </m:rPr>
            <m:t>=</m:t>
          </m:r>
          <m:r>
            <m:rPr>
              <m:sty m:val="p"/>
            </m:rPr>
            <m:t>clip</m:t>
          </m:r>
          <m:d>
            <m:dPr>
              <m:begChr m:val="("/>
              <m:endChr m:val=")"/>
              <m:sepChr m:val=""/>
              <m:grow/>
            </m:dPr>
            <m:e>
              <m:f>
                <m:fPr>
                  <m:type m:val="bar"/>
                </m:fPr>
                <m:num>
                  <m:r>
                    <m:rPr>
                      <m:sty m:val="p"/>
                    </m:rPr>
                    <m:t>−</m:t>
                  </m:r>
                  <m:d>
                    <m:dPr>
                      <m:begChr m:val="("/>
                      <m:endChr m:val=")"/>
                      <m:sepChr m:val=""/>
                      <m:grow/>
                    </m:dPr>
                    <m:e>
                      <m:sSub>
                        <m:e>
                          <m:acc>
                            <m:accPr>
                              <m:chr m:val="̃"/>
                            </m:accPr>
                            <m:e>
                              <m:r>
                                <m:t>β</m:t>
                              </m:r>
                            </m:e>
                          </m:acc>
                        </m:e>
                        <m:sub>
                          <m:r>
                            <m:t>T</m:t>
                          </m:r>
                          <m:r>
                            <m:rPr>
                              <m:sty m:val="p"/>
                            </m:rPr>
                            <m:t>,</m:t>
                          </m:r>
                          <m:r>
                            <m:t>l</m:t>
                          </m:r>
                          <m:r>
                            <m:t>o</m:t>
                          </m:r>
                          <m:r>
                            <m:t>s</m:t>
                          </m:r>
                          <m:r>
                            <m:t>s</m:t>
                          </m:r>
                        </m:sub>
                      </m:sSub>
                      <m:r>
                        <m:rPr>
                          <m:sty m:val="p"/>
                        </m:rPr>
                        <m:t>−</m:t>
                      </m:r>
                      <m:sSub>
                        <m:e>
                          <m:acc>
                            <m:accPr>
                              <m:chr m:val="̃"/>
                            </m:accPr>
                            <m:e>
                              <m:r>
                                <m:t>β</m:t>
                              </m:r>
                            </m:e>
                          </m:acc>
                        </m:e>
                        <m:sub>
                          <m:r>
                            <m:t>T</m:t>
                          </m:r>
                          <m:r>
                            <m:rPr>
                              <m:sty m:val="p"/>
                            </m:rPr>
                            <m:t>,</m:t>
                          </m:r>
                          <m:r>
                            <m:t>i</m:t>
                          </m:r>
                          <m:r>
                            <m:t>n</m:t>
                          </m:r>
                          <m:r>
                            <m:t>t</m:t>
                          </m:r>
                          <m:r>
                            <m:t>a</m:t>
                          </m:r>
                          <m:r>
                            <m:t>c</m:t>
                          </m:r>
                          <m:r>
                            <m:t>t</m:t>
                          </m:r>
                        </m:sub>
                      </m:sSub>
                    </m:e>
                  </m:d>
                </m:num>
                <m:den>
                  <m:r>
                    <m:t>0.25</m:t>
                  </m:r>
                </m:den>
              </m:f>
              <m:r>
                <m:rPr>
                  <m:sty m:val="p"/>
                </m:rPr>
                <m:t>,</m:t>
              </m:r>
              <m:r>
                <m:t>0</m:t>
              </m:r>
              <m:r>
                <m:rPr>
                  <m:sty m:val="p"/>
                </m:rPr>
                <m:t>,</m:t>
              </m:r>
              <m:r>
                <m:t>1</m:t>
              </m:r>
            </m:e>
          </m:d>
        </m:oMath>
      </m:oMathPara>
    </w:p>
    <w:p>
      <w:pPr>
        <w:pStyle w:val="FirstParagraph"/>
      </w:pPr>
      <w:r>
        <w:t xml:space="preserve">The methylation context combined the two available terms with equal internal weights:</w:t>
      </w:r>
    </w:p>
    <w:p>
      <w:pPr>
        <w:pStyle w:val="BodyText"/>
      </w:pPr>
      <m:oMathPara>
        <m:oMathParaPr>
          <m:jc m:val="center"/>
        </m:oMathParaPr>
        <m:oMath>
          <m:r>
            <m:t>M</m:t>
          </m:r>
          <m:r>
            <m:rPr>
              <m:sty m:val="p"/>
            </m:rPr>
            <m:t>=</m:t>
          </m:r>
          <m:r>
            <m:t>0.50</m:t>
          </m:r>
          <m:sSub>
            <m:e>
              <m:r>
                <m:t>D</m:t>
              </m:r>
            </m:e>
            <m:sub>
              <m:r>
                <m:t>p</m:t>
              </m:r>
              <m:r>
                <m:t>r</m:t>
              </m:r>
              <m:r>
                <m:t>o</m:t>
              </m:r>
              <m:r>
                <m:t>f</m:t>
              </m:r>
              <m:r>
                <m:t>i</m:t>
              </m:r>
              <m:r>
                <m:t>l</m:t>
              </m:r>
              <m:r>
                <m:t>e</m:t>
              </m:r>
            </m:sub>
          </m:sSub>
          <m:r>
            <m:rPr>
              <m:sty m:val="p"/>
            </m:rPr>
            <m:t>+</m:t>
          </m:r>
          <m:r>
            <m:t>0.50</m:t>
          </m:r>
          <m:sSub>
            <m:e>
              <m:r>
                <m:t>H</m:t>
              </m:r>
            </m:e>
            <m:sub>
              <m:r>
                <m:t>T</m:t>
              </m:r>
            </m:sub>
          </m:sSub>
        </m:oMath>
      </m:oMathPara>
    </w:p>
    <w:p>
      <w:pPr>
        <w:pStyle w:val="FirstParagraph"/>
      </w:pPr>
      <w:r>
        <w:t xml:space="preserve">with eligibility-aware subcoverage when either term was missing. The regulatory-network internal composition was 0.32 DoRothEA TF-association divergence, 0.28 TF-expression-profile divergence, 0.20 JASPAR/FIMO promoter-motif divergence and 0.20 promoter-methylation context. The global regulatory-network weight and all seven top-level RSES-Onco weights were unchanged.</w:t>
      </w:r>
    </w:p>
    <w:p>
      <w:pPr>
        <w:pStyle w:val="BodyText"/>
      </w:pPr>
      <w:r>
        <w:t xml:space="preserve">Methylation values were treated as association evidence. They were not interpreted automatically as direct causal silencing, promoter occupancy, compensatory transcription, synthetic lethality, therapeutic validation or clinical efficacy.</w:t>
      </w:r>
    </w:p>
    <w:bookmarkStart w:id="51" w:name="promoter-methylation-references"/>
    <w:p>
      <w:pPr>
        <w:pStyle w:val="Heading3"/>
      </w:pPr>
      <w:r>
        <w:t xml:space="preserve">Promoter methylation references</w:t>
      </w:r>
    </w:p>
    <w:p>
      <w:pPr>
        <w:numPr>
          <w:ilvl w:val="0"/>
          <w:numId w:val="1019"/>
        </w:numPr>
        <w:pStyle w:val="Compact"/>
      </w:pPr>
      <w:r>
        <w:t xml:space="preserve">DepMap Project. Custom downloads and cell-line molecular data resources.</w:t>
      </w:r>
    </w:p>
    <w:p>
      <w:pPr>
        <w:numPr>
          <w:ilvl w:val="0"/>
          <w:numId w:val="1019"/>
        </w:numPr>
        <w:pStyle w:val="Compact"/>
      </w:pPr>
      <w:r>
        <w:t xml:space="preserve">Ghandi M, Huang FW, Jané-Valbuena J, et al. Next-generation characterization of the Cancer Cell Line Encyclopedia.</w:t>
      </w:r>
      <w:r>
        <w:t xml:space="preserve"> </w:t>
      </w:r>
      <w:r>
        <w:rPr>
          <w:iCs/>
          <w:i/>
        </w:rPr>
        <w:t xml:space="preserve">Nature</w:t>
      </w:r>
      <w:r>
        <w:t xml:space="preserve">. 2019;569:503-508.</w:t>
      </w:r>
    </w:p>
    <w:p>
      <w:pPr>
        <w:numPr>
          <w:ilvl w:val="0"/>
          <w:numId w:val="1019"/>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bookmarkEnd w:id="51"/>
    <w:bookmarkEnd w:id="52"/>
    <w:bookmarkStart w:id="53" w:name="X55afc3561b78fe55c4c3099d5330139cc32c887"/>
    <w:p>
      <w:pPr>
        <w:pStyle w:val="Heading2"/>
      </w:pPr>
      <w:r>
        <w:t xml:space="preserve">Genomic Circos methods and source-data transparency</w:t>
      </w:r>
    </w:p>
    <w:p>
      <w:pPr>
        <w:pStyle w:val="FirstParagraph"/>
      </w:pPr>
      <w:r>
        <w:t xml:space="preserve">Supplementary Figure S70 was generated from every coordinate-complete simple-gene candidate classified as a NISE, homologous paralog or both. Canonical positions were derived from the Ensembl canonical-transcript lookup used for promoter acquisition and displayed on a GRCh38 chromosome ideogram. Every gene was represented as a genomic tick; NISE relationships were connected in red and homologous-paralog relationships in black. Chord width and transparency were proportional to the maximum cancer-specific coverage-adjusted RSES-Onco score for the pair.</w:t>
      </w:r>
    </w:p>
    <w:p>
      <w:pPr>
        <w:pStyle w:val="BodyText"/>
      </w:pPr>
      <w:r>
        <w:t xml:space="preserve">Panel A included rings for coverage-adjusted RSES-Onco, evidence coverage, tumor event, dependency, selectivity, expression compensation, functional relation, functional microniche and validation/tractability. Panel B included expression context, localization, biochemical/structural evidence, genetic phenotype, interaction network, regulatory network, pairwise expression, WGCNA, DoRothEA, TF-expression profiles, JASPAR/FIMO promoter motifs, promoter methylation and nested coverage values.</w:t>
      </w:r>
    </w:p>
    <w:p>
      <w:pPr>
        <w:pStyle w:val="BodyText"/>
      </w:pPr>
      <w:r>
        <w:t xml:space="preserve">For each gene and ring, the plotted value was the maximum observed value across associated pair-by-cancer records. Median, minimum, observed-row count, eligible-row count and missingness status were preserved in Supplementary Table S47. Missing or non-eligible evidence was rendered as a hollow marker and not as numeric zero.</w:t>
      </w:r>
    </w:p>
    <w:p>
      <w:pPr>
        <w:pStyle w:val="BodyText"/>
      </w:pPr>
      <w:r>
        <w:t xml:space="preserve">All model-level DepMap</w:t>
      </w:r>
      <w:r>
        <w:t xml:space="preserve"> </w:t>
      </w:r>
      <w:r>
        <w:rPr>
          <w:rStyle w:val="VerbatimChar"/>
        </w:rPr>
        <w:t xml:space="preserve">log2(TPM+1)</w:t>
      </w:r>
      <w:r>
        <w:t xml:space="preserve"> </w:t>
      </w:r>
      <w:r>
        <w:t xml:space="preserve">values used for Circos genes were exported in Supplementary Table S50. Supplementary Tables S45-S52 contain coordinates, links, rings, ring definitions, expression summaries, model-level expression, complete script documentation and source provenance. The exact combined source TSV used to render S70 was registered and copied byte-for-byte to the figure-data directory.</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v0.11.1</dc:title>
  <dc:creator/>
  <cp:keywords/>
  <dcterms:created xsi:type="dcterms:W3CDTF">2026-07-23T15:21:23Z</dcterms:created>
  <dcterms:modified xsi:type="dcterms:W3CDTF">2026-07-23T15:21:23Z</dcterms:modified>
</cp:coreProperties>
</file>

<file path=docProps/custom.xml><?xml version="1.0" encoding="utf-8"?>
<Properties xmlns="http://schemas.openxmlformats.org/officeDocument/2006/custom-properties" xmlns:vt="http://schemas.openxmlformats.org/officeDocument/2006/docPropsVTypes"/>
</file>