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Neighborly Fence - Garden and Dog-Run Mediation | Client Intake and Contact Profile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Synthetic client file · privileged demonstration work paper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Neighborly Fence - Garden and Dog-Run Mediation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charming community garden, an energetic rescue dog, and six inches of fence line have turned two friendly neighbors into people who no longer wave across the driveway.</ns0:t>
      </ns0:r>
    </ns0:p>
    <ns0:p>
      <ns0:pPr>
        <ns0:pStyle ns0:val="Heading1"/>
        <ns0:numPr>
          <ns0:ilvl ns0:val="0"/>
          <ns0:numId ns0:val="10"/>
        </ns0:numPr>
      </ns0:pPr>
      <ns0:r>
        <ns0:t>Client Profile</ns0:t>
      </ns0:r>
    </ns0:p>
    <ns0:p>
      <ns0:r>
        <ns0:t>Organization: Neighborly Mediation File (fictional)</ns0:t>
      </ns0:r>
    </ns0:p>
    <ns0:p>
      <ns0:r>
        <ns0:t>Primary contact: Alex Monroe, Business Manager</ns0:t>
      </ns0:r>
    </ns0:p>
    <ns0:p>
      <ns0:r>
        <ns0:t>Office: 18 Orchard Lane, Ann Arbor, MI 48104</ns0:t>
      </ns0:r>
    </ns0:p>
    <ns0:p>
      <ns0:r>
        <ns0:t>Direct line: +1-555-0124 · Email: alex.monroe@example.invalid</ns0:t>
      </ns0:r>
    </ns0:p>
    <ns0:p>
      <ns0:pPr>
        <ns0:pStyle ns0:val="Heading1"/>
        <ns0:numPr>
          <ns0:ilvl ns0:val="0"/>
          <ns0:numId ns0:val="10"/>
        </ns0:numPr>
      </ns0:pPr>
      <ns0:r>
        <ns0:t>Initial Intake</ns0:t>
      </ns0:r>
    </ns0:p>
    <ns0:p>
      <ns0:r>
        <ns0:t>A charming community garden, an energetic rescue dog, and six inches of fence line have turned two friendly neighbors into people who no longer wave across the driveway.</ns0:t>
      </ns0:r>
    </ns0:p>
    <ns0:p>
      <ns0:r>
        <ns0:t>Conflict check recorded as cleared for this fictional demonstration file.</ns0:t>
      </ns0:r>
    </ns0:p>
    <ns0:p>
      <ns0:r>
        <ns0:t>Client asked for a practical work plan, source-grounded risk summary, and attorney-reviewed communications.</ns0:t>
      </ns0:r>
    </ns0:p>
    <ns0:p>
      <ns0:pPr>
        <ns0:pStyle ns0:val="Heading1"/>
        <ns0:numPr>
          <ns0:ilvl ns0:val="0"/>
          <ns0:numId ns0:val="10"/>
        </ns0:numPr>
      </ns0:pPr>
      <ns0:r>
        <ns0:t>Other Known Parties</ns0:t>
      </ns0:r>
    </ns0:p>
    <ns0:p>
      <ns0:r>
        <ns0:t>Counterparty or stakeholder: Crescent Counsel (fictional).</ns0:t>
      </ns0:r>
    </ns0:p>
    <ns0:p>
      <ns0:r>
        <ns0:t>Primary outside contact: Reese Carter (counterparty-15@example.invalid).</ns0:t>
      </ns0:r>
    </ns0:p>
    <ns0:p>
      <ns0:r>
        <ns0:t>Party information is fictional and is included solely to demonstrate a complete matter file.</ns0:t>
      </ns0:r>
    </ns0:p>
    <ns0:p>
      <ns0:pPr>
        <ns0:pStyle ns0:val="Heading1"/>
        <ns0:numPr>
          <ns0:ilvl ns0:val="0"/>
          <ns0:numId ns0:val="10"/>
        </ns0:numPr>
      </ns0:pPr>
      <ns0:r>
        <ns0:t>Open Questions for Counsel</ns0:t>
      </ns0:r>
    </ns0:p>
    <ns0:p>
      <ns0:r>
        <ns0:t>Confirm governing documents, venue, and jurisdiction-specific requirements before advice or external action.</ns0:t>
      </ns0:r>
    </ns0:p>
    <ns0:p>
      <ns0:r>
        <ns0:t>Confirm the client representative's authority and any insurance, notice, or consent obligations.</ns0:t>
      </ns0:r>
    </ns0:p>
    <ns0:p>
      <ns0:r>
        <ns0:t>Identify records that require preservation or privilege treatment.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Neighborly Fence - Garden and Dog-Run Mediation | Client Intake and Contact Profile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Neighborly Fence - Garden and Dog-Run Mediation | Client Intake and Contact Profile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