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Unanimous Written Consent of the Board of Directors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HarborLight Robotics, Inc. - Series Seed Financing Approvals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HarborLight Robotics - Series Seed Financing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20,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This synthetic consent assumes the corporation's charter and bylaws do not restrict unanimous board action by written consent. Counsel must verify governing documents and the final financing instruments before use.</ns0:t>
      </ns0:r>
    </ns0:p>
    <ns0:p>
      <ns0:pPr>
        <ns0:pStyle ns0:val="Heading1"/>
        <ns0:numPr>
          <ns0:ilvl ns0:val="0"/>
          <ns0:numId ns0:val="10"/>
        </ns0:numPr>
      </ns0:pPr>
      <ns0:r>
        <ns0:t>Background</ns0:t>
      </ns0:r>
    </ns0:p>
    <ns0:p>
      <ns0:r>
        <ns0:t>The directors reviewed the August 8, 2026 Series Seed Preferred Stock Term Sheet, a draft amended and restated certificate of incorporation, a stock purchase agreement, investor-rights documents, capitalization materials, and management's financing presentation.</ns0:t>
      </ns0:r>
    </ns0:p>
    <ns0:p>
      <ns0:pPr>
        <ns0:pStyle ns0:val="Heading1"/>
        <ns0:numPr>
          <ns0:ilvl ns0:val="0"/>
          <ns0:numId ns0:val="10"/>
        </ns0:numPr>
      </ns0:pPr>
      <ns0:r>
        <ns0:t>Financing Approval</ns0:t>
      </ns0:r>
    </ns0:p>
    <ns0:p>
      <ns0:r>
        <ns0:t>RESOLVED, that the proposed issuance and sale of up to 2,000,000 shares of Series Seed Preferred Stock for aggregate gross proceeds of up to $4,500,000 is approved, subject to final terms not materially less favorable to the corporation than those presented to the board.</ns0:t>
      </ns0:r>
    </ns0:p>
    <ns0:p>
      <ns0:pPr>
        <ns0:pStyle ns0:val="Heading1"/>
        <ns0:numPr>
          <ns0:ilvl ns0:val="0"/>
          <ns0:numId ns0:val="10"/>
        </ns0:numPr>
      </ns0:pPr>
      <ns0:r>
        <ns0:t>Charter and Stockholder Approval</ns0:t>
      </ns0:r>
    </ns0:p>
    <ns0:p>
      <ns0:r>
        <ns0:t>RESOLVED, that the amended and restated certificate of incorporation is approved and recommended to the stockholders for adoption; and that the officers are authorized to solicit the stockholder consent required by the existing certificate, bylaws, and applicable law before filing.</ns0:t>
      </ns0:r>
    </ns0:p>
    <ns0:p>
      <ns0:pPr>
        <ns0:pStyle ns0:val="Heading1"/>
        <ns0:numPr>
          <ns0:ilvl ns0:val="0"/>
          <ns0:numId ns0:val="10"/>
        </ns0:numPr>
      </ns0:pPr>
      <ns0:r>
        <ns0:t>Definitive Agreements</ns0:t>
      </ns0:r>
    </ns0:p>
    <ns0:p>
      <ns0:r>
        <ns0:t>RESOLVED, that the forms of stock purchase agreement, investors' rights agreement, voting agreement, right of first refusal and co-sale agreement, and related instruments are approved, with changes an authorized officer determines necessary or advisable, provided material economic changes return to the board.</ns0:t>
      </ns0:r>
    </ns0:p>
    <ns0:p>
      <ns0:pPr>
        <ns0:pStyle ns0:val="Heading1"/>
        <ns0:numPr>
          <ns0:ilvl ns0:val="0"/>
          <ns0:numId ns0:val="10"/>
        </ns0:numPr>
      </ns0:pPr>
      <ns0:r>
        <ns0:t>Option Pool and Capitalization</ns0:t>
      </ns0:r>
    </ns0:p>
    <ns0:p>
      <ns0:r>
        <ns0:t>RESOLVED, that management is authorized to reserve the shares necessary for a 12% post-closing unallocated option pool, subject to verification of the capitalization schedule and the board's separate approval of individual equity grants.</ns0:t>
      </ns0:r>
    </ns0:p>
    <ns0:p>
      <ns0:pPr>
        <ns0:pStyle ns0:val="Heading1"/>
        <ns0:numPr>
          <ns0:ilvl ns0:val="0"/>
          <ns0:numId ns0:val="10"/>
        </ns0:numPr>
      </ns0:pPr>
      <ns0:r>
        <ns0:t>Officer Authority</ns0:t>
      </ns0:r>
    </ns0:p>
    <ns0:p>
      <ns0:r>
        <ns0:t>RESOLVED, that the chief executive officer and chief financial officer, acting individually, may execute approved documents, make required filings, pay transaction expenses, and take actions reasonably necessary to close the financing; provided that investor counsel fees paid by the corporation may not exceed $40,000 without further approval.</ns0:t>
      </ns0:r>
    </ns0:p>
    <ns0:p>
      <ns0:pPr>
        <ns0:pStyle ns0:val="Heading1"/>
        <ns0:numPr>
          <ns0:ilvl ns0:val="0"/>
          <ns0:numId ns0:val="10"/>
        </ns0:numPr>
      </ns0:pPr>
      <ns0:r>
        <ns0:t>Conflicts and Recordkeeping</ns0:t>
      </ns0:r>
    </ns0:p>
    <ns0:p>
      <ns0:r>
        <ns0:t>RESOLVED, that each director has disclosed any material interest known to that director in the financing; and that this consent and the final documents will be filed with the minutes maintained by the corporation.</ns0:t>
      </ns0:r>
    </ns0:p>
    <ns0:p>
      <ns0:pPr>
        <ns0:pStyle ns0:val="Heading1"/>
        <ns0:numPr>
          <ns0:ilvl ns0:val="0"/>
          <ns0:numId ns0:val="10"/>
        </ns0:numPr>
      </ns0:pPr>
      <ns0:r>
        <ns0:t>Effectiveness and Counterparts</ns0:t>
      </ns0:r>
    </ns0:p>
    <ns0:p>
      <ns0:r>
        <ns0:t>This consent is effective when all directors have signed and may be executed in counterparts and by electronic transmission. If a director's signature is conditioned or delayed, counsel must confirm effectiveness before any filing or closing action.</ns0:t>
      </ns0:r>
    </ns0:p>
    <ns0:p>
      <ns0:pPr>
        <ns0:pStyle ns0:val="Heading1"/>
      </ns0:pPr>
      <ns0:r>
        <ns0:t>Acknowledged by the synthetic signatories</ns0:t>
      </ns0:r>
    </ns0:p>
    <ns0:p>
      <ns0:pPr>
        <ns0:spacing ns0:after="160"/>
      </ns0:pPr>
      <ns0:r>
        <ns0:rPr>
          <ns0:rFonts ns0:ascii="Calibri" ns0:hAnsi="Calibri"/>
          <ns0:color ns0:val="1F2D3D"/>
          <ns0:sz ns0:val="22"/>
        </ns0:rPr>
        <ns0:t>/s/ Avery Chen, Director</ns0:t>
      </ns0:r>
    </ns0:p>
    <ns0:p>
      <ns0:pPr>
        <ns0:spacing ns0:after="160"/>
      </ns0:pPr>
      <ns0:r>
        <ns0:rPr>
          <ns0:rFonts ns0:ascii="Calibri" ns0:hAnsi="Calibri"/>
          <ns0:color ns0:val="1F2D3D"/>
          <ns0:sz ns0:val="22"/>
        </ns0:rPr>
        <ns0:t>/s/ Jordan Ellis, Director</ns0:t>
      </ns0:r>
    </ns0:p>
    <ns0:p>
      <ns0:pPr>
        <ns0:spacing ns0:after="160"/>
      </ns0:pPr>
      <ns0:r>
        <ns0:rPr>
          <ns0:rFonts ns0:ascii="Calibri" ns0:hAnsi="Calibri"/>
          <ns0:color ns0:val="1F2D3D"/>
          <ns0:sz ns0:val="22"/>
        </ns0:rPr>
        <ns0:t>/s/ Morgan Reyes, Director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Delaware General Corporation Law, 8 Del. C. Section 141: https://delcode.delaware.gov/title8/c001/sc04/index.html#141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Unanimous Written Consent of the Board of Directors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Unanimous Written Consent of the Board of Directors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