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1F2D3D"/>
          <w:sz w:val="48"/>
        </w:rPr>
        <w:t>Master Services Agreement</w:t>
      </w:r>
    </w:p>
    <w:p>
      <w:pPr>
        <w:spacing w:after="280"/>
      </w:pPr>
      <w:r>
        <w:rPr>
          <w:rFonts w:ascii="Calibri" w:hAnsi="Calibri"/>
          <w:color w:val="606973"/>
          <w:sz w:val="26"/>
        </w:rPr>
        <w:t>BlueHarbor Cloud Systems, Inc. and Northstar Analytics, Inc.</w:t>
      </w:r>
    </w:p>
    <w:p>
      <w:pPr>
        <w:spacing w:after="40"/>
      </w:pPr>
      <w:r>
        <w:rPr>
          <w:rFonts w:ascii="Calibri" w:hAnsi="Calibri"/>
          <w:b/>
          <w:color w:val="1F2D3D"/>
          <w:sz w:val="21"/>
        </w:rPr>
        <w:t xml:space="preserve">Matter: </w:t>
      </w:r>
      <w:r>
        <w:rPr>
          <w:rFonts w:ascii="Calibri" w:hAnsi="Calibri"/>
          <w:color w:val="1F2D3D"/>
          <w:sz w:val="21"/>
        </w:rPr>
        <w:t>Northstar Analytics - SaaS Vendor Review</w:t>
      </w:r>
    </w:p>
    <w:p>
      <w:pPr>
        <w:spacing w:after="40"/>
      </w:pPr>
      <w:r>
        <w:rPr>
          <w:rFonts w:ascii="Calibri" w:hAnsi="Calibri"/>
          <w:b/>
          <w:color w:val="1F2D3D"/>
          <w:sz w:val="21"/>
        </w:rPr>
        <w:t xml:space="preserve">Document date: </w:t>
      </w:r>
      <w:r>
        <w:rPr>
          <w:rFonts w:ascii="Calibri" w:hAnsi="Calibri"/>
          <w:color w:val="1F2D3D"/>
          <w:sz w:val="21"/>
        </w:rPr>
        <w:t>August 1, 2026</w:t>
      </w:r>
    </w:p>
    <w:p>
      <w:pPr>
        <w:spacing w:after="40"/>
      </w:pPr>
      <w:r>
        <w:rPr>
          <w:rFonts w:ascii="Calibri" w:hAnsi="Calibri"/>
          <w:b/>
          <w:color w:val="1F2D3D"/>
          <w:sz w:val="21"/>
        </w:rPr>
        <w:t xml:space="preserve">Status: </w:t>
      </w:r>
      <w:r>
        <w:rPr>
          <w:rFonts w:ascii="Calibri" w:hAnsi="Calibri"/>
          <w:color w:val="1F2D3D"/>
          <w:sz w:val="21"/>
        </w:rPr>
        <w:t>SYNTHETIC DEMO - NOT LEGAL ADVICE</w:t>
      </w:r>
    </w:p>
    <w:p>
      <w:pPr>
        <w:spacing w:before="200" w:after="200"/>
        <w:ind w:left="288" w:right="288"/>
      </w:pPr>
      <w:r>
        <w:rPr>
          <w:rFonts w:ascii="Calibri" w:hAnsi="Calibri"/>
          <w:i/>
          <w:color w:val="504119"/>
          <w:sz w:val="21"/>
        </w:rPr>
        <w:t>This synthetic agreement intentionally contains negotiation issues for an AI-assisted customer-side review: a narrow liability cap, broad provider data-use rights, automatic renewal, an asymmetric indemnity, and a short suspension right.</w:t>
      </w:r>
    </w:p>
    <w:p>
      <w:pPr>
        <w:pStyle w:val="Heading1"/>
        <w:numPr>
          <w:ilvl w:val="0"/>
          <w:numId w:val="10"/>
        </w:numPr>
      </w:pPr>
      <w:r>
        <w:t>Services and Order Forms</w:t>
      </w:r>
    </w:p>
    <w:p>
      <w:r>
        <w:t>BlueHarbor will provide the hosted analytics platform described in each signed Order Form. An Order Form may add services, usage limits, support levels, and fees, but it may not amend this Agreement unless it identifies the provision being amended and is signed by authorized representatives of both parties.</w:t>
      </w:r>
    </w:p>
    <w:p>
      <w:r>
        <w:t>BlueHarbor may update non-material platform features during the term. A change that materially reduces core functionality requires at least 30 days' notice and gives Northstar a termination right for the affected service if the reduction is not cured within 15 days after written notice.</w:t>
      </w:r>
    </w:p>
    <w:p>
      <w:pPr>
        <w:pStyle w:val="Heading1"/>
        <w:numPr>
          <w:ilvl w:val="0"/>
          <w:numId w:val="10"/>
        </w:numPr>
      </w:pPr>
      <w:r>
        <w:t>Fees, Invoicing, and Taxes</w:t>
      </w:r>
    </w:p>
    <w:p>
      <w:r>
        <w:t>Northstar will pay undisputed invoices within 30 days. Disputed amounts must be identified with reasonable detail within 15 days after receipt, and the parties will work in good faith to resolve them. Overdue undisputed amounts accrue interest at 1.5% per month or the maximum lawful rate, whichever is lower.</w:t>
      </w:r>
    </w:p>
    <w:p>
      <w:r>
        <w:t>Fees increase by 8% at each renewal unless the applicable Order Form states otherwise. Northstar is responsible for sales and use taxes other than taxes measured by BlueHarbor's net income.</w:t>
      </w:r>
    </w:p>
    <w:p>
      <w:pPr>
        <w:pStyle w:val="Heading1"/>
        <w:numPr>
          <w:ilvl w:val="0"/>
          <w:numId w:val="10"/>
        </w:numPr>
      </w:pPr>
      <w:r>
        <w:t>Customer Data and Product Improvement</w:t>
      </w:r>
    </w:p>
    <w:p>
      <w:r>
        <w:t>Northstar owns Customer Data. Northstar grants BlueHarbor a worldwide license during the term to host, copy, transmit, and otherwise process Customer Data to provide and secure the services.</w:t>
      </w:r>
    </w:p>
    <w:p>
      <w:r>
        <w:t>BlueHarbor may also use Customer Data, including prompts, uploaded documents, and resulting usage signals, to train, tune, evaluate, and improve BlueHarbor and third-party machine-learning models, provided BlueHarbor removes direct identifiers before that use. This product-improvement license survives termination in perpetuity.</w:t>
      </w:r>
    </w:p>
    <w:p>
      <w:pPr>
        <w:pStyle w:val="Heading1"/>
        <w:numPr>
          <w:ilvl w:val="0"/>
          <w:numId w:val="10"/>
        </w:numPr>
      </w:pPr>
      <w:r>
        <w:t>Confidentiality</w:t>
      </w:r>
    </w:p>
    <w:p>
      <w:r>
        <w:t>Each recipient will use the other party's Confidential Information only to perform or receive the services, protect it using at least reasonable care, and disclose it only to personnel and contractors bound by confidentiality duties. Standard exclusions apply for information independently developed, rightfully received, public without breach, or previously known without restriction.</w:t>
      </w:r>
    </w:p>
    <w:p>
      <w:r>
        <w:t>A compelled disclosure is permitted after prompt notice when legally allowed and reasonable cooperation at the disclosing party's expense.</w:t>
      </w:r>
    </w:p>
    <w:p>
      <w:pPr>
        <w:pStyle w:val="Heading1"/>
        <w:numPr>
          <w:ilvl w:val="0"/>
          <w:numId w:val="10"/>
        </w:numPr>
      </w:pPr>
      <w:r>
        <w:t>Security and Incident Response</w:t>
      </w:r>
    </w:p>
    <w:p>
      <w:r>
        <w:t>BlueHarbor will maintain a written security program aligned in material respects with the NIST Cybersecurity Framework and the Data and Security Addendum. BlueHarbor will notify Northstar without undue delay and no later than 72 hours after confirming unauthorized access to unencrypted Customer Data.</w:t>
      </w:r>
    </w:p>
    <w:p>
      <w:r>
        <w:t>BlueHarbor may suspend access immediately when it reasonably believes continued use creates a security risk, violates law, or threatens the platform. BlueHarbor is not required to provide advance notice and has no express obligation to limit a suspension to the affected account or function.</w:t>
      </w:r>
    </w:p>
    <w:p>
      <w:pPr>
        <w:pStyle w:val="Heading1"/>
        <w:numPr>
          <w:ilvl w:val="0"/>
          <w:numId w:val="10"/>
        </w:numPr>
      </w:pPr>
      <w:r>
        <w:t>Intellectual Property</w:t>
      </w:r>
    </w:p>
    <w:p>
      <w:r>
        <w:t>BlueHarbor owns the platform, documentation, usage analytics, generalized know-how, and all improvements. Northstar owns Customer Data and Northstar materials. Feedback is assigned to BlueHarbor without payment or restriction.</w:t>
      </w:r>
    </w:p>
    <w:p>
      <w:pPr>
        <w:pStyle w:val="Heading1"/>
        <w:numPr>
          <w:ilvl w:val="0"/>
          <w:numId w:val="10"/>
        </w:numPr>
      </w:pPr>
      <w:r>
        <w:t>Warranties</w:t>
      </w:r>
    </w:p>
    <w:p>
      <w:r>
        <w:t>BlueHarbor warrants that the service will materially conform to the documentation and that professional services will be performed in a professional manner. Northstar's exclusive remedy is re-performance or, if BlueHarbor cannot cure, termination of the affected Order Form and refund of prepaid unused fees.</w:t>
      </w:r>
    </w:p>
    <w:p>
      <w:r>
        <w:t>Except for the express warranties above, the service is provided as is and BlueHarbor disclaims implied warranties to the maximum extent permitted by law.</w:t>
      </w:r>
    </w:p>
    <w:p>
      <w:pPr>
        <w:pStyle w:val="Heading1"/>
        <w:numPr>
          <w:ilvl w:val="0"/>
          <w:numId w:val="10"/>
        </w:numPr>
      </w:pPr>
      <w:r>
        <w:t>Indemnification</w:t>
      </w:r>
    </w:p>
    <w:p>
      <w:r>
        <w:t>Northstar will defend and indemnify BlueHarbor from third-party claims arising from Customer Data, Northstar's products, or use of the service in violation of this Agreement.</w:t>
      </w:r>
    </w:p>
    <w:p>
      <w:r>
        <w:t>BlueHarbor will defend Northstar only against a third-party claim that the unmodified service directly infringes a United States patent, copyright, or trademark. BlueHarbor has no express indemnity obligation for a security incident, privacy claim, or BlueHarbor's violation of law.</w:t>
      </w:r>
    </w:p>
    <w:p>
      <w:pPr>
        <w:pStyle w:val="Heading1"/>
        <w:numPr>
          <w:ilvl w:val="0"/>
          <w:numId w:val="10"/>
        </w:numPr>
      </w:pPr>
      <w:r>
        <w:t>Limitation of Liability</w:t>
      </w:r>
    </w:p>
    <w:p>
      <w:r>
        <w:t>Neither party is liable for indirect, incidental, special, consequential, exemplary, or punitive damages. BlueHarbor's aggregate liability arising from this Agreement will not exceed fees paid for the affected service during the three months preceding the event giving rise to liability.</w:t>
      </w:r>
    </w:p>
    <w:p>
      <w:r>
        <w:t>Northstar's payment obligations, indemnity obligations, and breach of BlueHarbor's intellectual-property rights are uncapped. There is no separate cap for confidentiality, security, privacy, gross negligence, or willful misconduct.</w:t>
      </w:r>
    </w:p>
    <w:p>
      <w:pPr>
        <w:pStyle w:val="Heading1"/>
        <w:numPr>
          <w:ilvl w:val="0"/>
          <w:numId w:val="10"/>
        </w:numPr>
      </w:pPr>
      <w:r>
        <w:t>Term, Renewal, and Termination</w:t>
      </w:r>
    </w:p>
    <w:p>
      <w:r>
        <w:t>The initial term ends July 31, 2027 and automatically renews for successive one-year terms unless either party gives at least 60 days' written notice before the current term ends. Either party may terminate for an uncured material breach after 30 days' notice, reduced to 10 days for nonpayment.</w:t>
      </w:r>
    </w:p>
    <w:p>
      <w:r>
        <w:t>On termination, Northstar may export Customer Data for 15 days. BlueHarbor may then delete it under its standard retention practices. Prepaid fees are nonrefundable except for BlueHarbor's uncured breach.</w:t>
      </w:r>
    </w:p>
    <w:p>
      <w:pPr>
        <w:pStyle w:val="Heading1"/>
        <w:numPr>
          <w:ilvl w:val="0"/>
          <w:numId w:val="10"/>
        </w:numPr>
      </w:pPr>
      <w:r>
        <w:t>General</w:t>
      </w:r>
    </w:p>
    <w:p>
      <w:r>
        <w:t>Delaware law governs without regard to conflicts principles, and state or federal courts in New Castle County, Delaware have exclusive jurisdiction. Neither party may assign without consent, except BlueHarbor may assign to an affiliate or in connection with a merger, financing, or sale of substantially all relevant assets. Notices must be sent by nationally recognized overnight courier and email to the contacts in the Order Form.</w:t>
      </w:r>
    </w:p>
    <w:p>
      <w:pPr>
        <w:pStyle w:val="Heading1"/>
        <w:keepNext/>
      </w:pPr>
      <w:r>
        <w:t>Research basis</w:t>
      </w:r>
    </w:p>
    <w:p>
      <w:pPr>
        <w:keepNext/>
      </w:pPr>
      <w:r>
        <w:t>These sources informed the fictional issue pattern and document structure. They are not incorporated into the agreement and are not a substitute for jurisdiction-specific review.</w:t>
      </w:r>
    </w:p>
    <w:p>
      <w:pPr>
        <w:numPr>
          <w:ilvl w:val="0"/>
          <w:numId w:val="11"/>
        </w:numPr>
      </w:pPr>
      <w:r>
        <w:t>SEC EDGAR material-contract exhibits (structure research only): https://www.sec.gov/Archives/edgar/data/2026767/000149315226029398/ex10-12.htm</w:t>
      </w:r>
    </w:p>
    <w:p>
      <w:pPr>
        <w:numPr>
          <w:ilvl w:val="0"/>
          <w:numId w:val="11"/>
        </w:numPr>
      </w:pPr>
      <w:r>
        <w:t>NIST Cybersecurity Framework 2.0: https://www.nist.gov/publications/nist-cybersecurity-framework-csf-20</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Master Services Agreement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after="120" w:line="264" w:lineRule="auto"/>
    </w:pPr>
    <w:rPr>
      <w:rFonts w:ascii="Calibri" w:hAnsi="Calibri"/>
      <w:b w:val="0"/>
      <w:color w:val="1F2D3D"/>
      <w:sz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