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Garden Shop Estate Administration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Estate of Elise Marigold - Fictional Family Business Transition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Marigold Estate - Garden Shop Transition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beloved garden-shop owner left a handwritten note, a small greenhouse business, and three adult children who all agree the shop should survive but disagree about who should run it.</w:t>
      </w:r>
    </w:p>
    <w:p>
      <w:pPr>
        <w:pStyle w:val="Heading1"/>
        <w:numPr>
          <w:ilvl w:val="0"/>
          <w:numId w:val="10"/>
        </w:numPr>
      </w:pPr>
      <w:r>
        <w:t>Background and Working Facts</w:t>
      </w:r>
    </w:p>
    <w:p>
      <w:r>
        <w:t>Elise's records include a will from 2014, a later handwritten note naming a daughter to 'keep the shop blooming,' a checking account, greenhouse inventory, a delivery van, and a seasonal lease.</w:t>
      </w:r>
    </w:p>
    <w:p>
      <w:r>
        <w:t>One child works at the shop, one lives out of state, and one believes the business should be sold before spring. Payroll, supplier invoices, and a wedding-flower deposit are due within the month.</w:t>
      </w:r>
    </w:p>
    <w:p>
      <w:r>
        <w:t>The family wants a calm plan for information sharing, immediate business decisions, and a possible memorial scholarship funded by future profits.</w:t>
      </w:r>
    </w:p>
    <w:p>
      <w:pPr>
        <w:pStyle w:val="Heading1"/>
        <w:numPr>
          <w:ilvl w:val="0"/>
          <w:numId w:val="10"/>
        </w:numPr>
      </w:pPr>
      <w:r>
        <w:t>Risk and Issue Map</w:t>
      </w:r>
    </w:p>
    <w:p>
      <w:r>
        <w:t>The will, handwritten note, ownership records, and fiduciary authority require jurisdiction-specific review before anyone distributes assets or acts as owner.</w:t>
      </w:r>
    </w:p>
    <w:p>
      <w:r>
        <w:t>Immediate business continuity, payroll, lease, inventory, and customer deposits must be tracked separately from long-term succession choices.</w:t>
      </w:r>
    </w:p>
    <w:p>
      <w:r>
        <w:t>Beneficiary communication and a transparent asset inventory can reduce conflict while preserving options.</w:t>
      </w:r>
    </w:p>
    <w:p>
      <w:pPr>
        <w:pStyle w:val="Heading1"/>
        <w:numPr>
          <w:ilvl w:val="0"/>
          <w:numId w:val="10"/>
        </w:numPr>
      </w:pPr>
      <w:r>
        <w:t>Options and Decisions Needed</w:t>
      </w:r>
    </w:p>
    <w:p>
      <w:r>
        <w:t>Choose a short-term operations plan and identify who may communicate with vendors.</w:t>
      </w:r>
    </w:p>
    <w:p>
      <w:r>
        <w:t>Approve an estate-information packet and family meeting agenda.</w:t>
      </w:r>
    </w:p>
    <w:p>
      <w:r>
        <w:t>Set decision milestones for sale, continuation, valuation, and any charitable goal.</w:t>
      </w:r>
    </w:p>
    <w:p>
      <w:pPr>
        <w:pStyle w:val="Heading1"/>
        <w:numPr>
          <w:ilvl w:val="0"/>
          <w:numId w:val="10"/>
        </w:numPr>
      </w:pPr>
      <w:r>
        <w:t>90-Day Action Plan</w:t>
      </w:r>
    </w:p>
    <w:p>
      <w:r>
        <w:t>Priority 1: Inventory estate and garden-shop records.</w:t>
      </w:r>
    </w:p>
    <w:p>
      <w:r>
        <w:t>Priority 2: Create 30-day business-continuity checklist.</w:t>
      </w:r>
    </w:p>
    <w:p>
      <w:r>
        <w:t>Priority 3: Prepare beneficiary communication and decision calendar.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Organize this estate-and-business transition into immediate, near-term, and long-term decisions while flagging questions for local probate counsel.</w:t>
      </w:r>
    </w:p>
    <w:p>
      <w:r>
        <w:t>Use this scenario to demonstrate document-grounded analysis, a matter timeline, task creation, and an attorney review workflow. Confirm jurisdiction-specific law and facts before acting outside this fictional demonstration.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Garden Shop Estate Administration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Garden Shop Estate Administration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