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FreshNest - Sleepy Tea Label Refresh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FreshNest - Sleepy Tea Label Refresh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Drew Hart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Redline label and campaign claims by support level.</w:t>
      </w:r>
    </w:p>
    <w:p>
      <w:r>
        <w:t>Week 2: Create testimonial, influencer, and moderation guidance.</w:t>
      </w:r>
    </w:p>
    <w:p>
      <w:r>
        <w:t>Weeks 3–4: Prepare retailer deadline plan and approval archive.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Classify the proposed claims, suggest safer alternatives, and build a ten-day approval plan for the label refresh.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FreshNest - Sleepy Tea Label Refresh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FreshNest - Sleepy Tea Label Refresh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