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Marigold Estate - Garden Shop Transition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Marigold Estate - Garden Shop Transition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Skyler Bennett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Inventory estate and garden-shop records.</w:t>
      </w:r>
    </w:p>
    <w:p>
      <w:r>
        <w:t>Week 2: Create 30-day business-continuity checklist.</w:t>
      </w:r>
    </w:p>
    <w:p>
      <w:r>
        <w:t>Weeks 3–4: Prepare beneficiary communication and decision calendar.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Organize this estate-and-business transition into immediate, near-term, and long-term decisions while flagging questions for local probate counsel.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Marigold Estate - Garden Shop Transition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Marigold Estate - Garden Shop Transition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