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Neighborly Fence - Garden and Dog-Run Mediation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Neighborly Fence - Garden and Dog-Run Mediation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Alex Monroe asked counsel to prioritize the immediate decision and summarize remaining information gaps.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Prepare neutral chronology and document exchange list.</w:t>
      </w:r>
    </w:p>
    <w:p>
      <w:r>
        <w:t>Week 2: Draft mediation agenda, caucus questions, and settlement options.</w:t>
      </w:r>
    </w:p>
    <w:p>
      <w:r>
        <w:t>Weeks 3–4: Create written-agreement checklist for work scope and access.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Prepare a constructive mediation agenda, identify the information gaps, and outline settlement terms that let both neighbors enjoy their yards again.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Neighborly Fence - Garden and Dog-Run Mediation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Neighborly Fence - Garden and Dog-Run Mediation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