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Sunbeam Drone - Rooftop Delivery Demand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Sunbeam Drone - Rooftop Delivery Demand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Jamie Patel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Issue legal hold and preserve flight, marketing, and support records.</w:t>
      </w:r>
    </w:p>
    <w:p>
      <w:r>
        <w:t>Week 2: Map contract, insurance, and agency-notice deadlines.</w:t>
      </w:r>
    </w:p>
    <w:p>
      <w:r>
        <w:t>Weeks 3–4: Prepare demand-response chronology and settlement authority memo.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Build a claim chronology, identify the preservation steps, and draft a measured response that does not concede the disputed marketing statement.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Sunbeam Drone - Rooftop Delivery Demand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Sunbeam Drone - Rooftop Delivery Demand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