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20" ns0:after="80"/>
      </ns0:pPr>
      <ns0:r>
        <ns0:rPr>
          <ns0:rFonts ns0:ascii="Calibri" ns0:hAnsi="Calibri"/>
          <ns0:b/>
          <ns0:color ns0:val="1F2D3D"/>
          <ns0:sz ns0:val="48"/>
        </ns0:rPr>
        <ns0:t>Series Seed Preferred Stock Term Sheet</ns0:t>
      </ns0:r>
    </ns0:p>
    <ns0:p>
      <ns0:pPr>
        <ns0:spacing ns0:after="280"/>
      </ns0:pPr>
      <ns0:r>
        <ns0:rPr>
          <ns0:rFonts ns0:ascii="Calibri" ns0:hAnsi="Calibri"/>
          <ns0:color ns0:val="606973"/>
          <ns0:sz ns0:val="26"/>
        </ns0:rPr>
        <ns0:t>HarborLight Robotics, Inc. - Proposed $4.5 Million Financing</ns0:t>
      </ns0:r>
    </ns0:p>
    <ns0:p>
      <ns0:pPr>
        <ns0:spacing ns0:after="40"/>
      </ns0:pPr>
      <ns0:r>
        <ns0:rPr>
          <ns0:rFonts ns0:ascii="Calibri" ns0:hAnsi="Calibri"/>
          <ns0:b/>
          <ns0:color ns0:val="1F2D3D"/>
          <ns0:sz ns0:val="21"/>
        </ns0:rPr>
        <ns0:t xml:space="preserve">Matter: </ns0:t>
      </ns0:r>
      <ns0:r>
        <ns0:rPr>
          <ns0:rFonts ns0:ascii="Calibri" ns0:hAnsi="Calibri"/>
          <ns0:color ns0:val="1F2D3D"/>
          <ns0:sz ns0:val="21"/>
        </ns0:rPr>
        <ns0:t>HarborLight Robotics - Series Seed Financing</ns0:t>
      </ns0:r>
    </ns0:p>
    <ns0:p>
      <ns0:pPr>
        <ns0:spacing ns0:after="40"/>
      </ns0:pPr>
      <ns0:r>
        <ns0:rPr>
          <ns0:rFonts ns0:ascii="Calibri" ns0:hAnsi="Calibri"/>
          <ns0:b/>
          <ns0:color ns0:val="1F2D3D"/>
          <ns0:sz ns0:val="21"/>
        </ns0:rPr>
        <ns0:t xml:space="preserve">Document date: </ns0:t>
      </ns0:r>
      <ns0:r>
        <ns0:rPr>
          <ns0:rFonts ns0:ascii="Calibri" ns0:hAnsi="Calibri"/>
          <ns0:color ns0:val="1F2D3D"/>
          <ns0:sz ns0:val="21"/>
        </ns0:rPr>
        <ns0:t>August 8, 2026</ns0:t>
      </ns0:r>
    </ns0:p>
    <ns0:p>
      <ns0:pPr>
        <ns0:spacing ns0:after="40"/>
      </ns0:pPr>
      <ns0:r>
        <ns0:rPr>
          <ns0:rFonts ns0:ascii="Calibri" ns0:hAnsi="Calibri"/>
          <ns0:b/>
          <ns0:color ns0:val="1F2D3D"/>
          <ns0:sz ns0:val="21"/>
        </ns0:rPr>
        <ns0:t xml:space="preserve">Status: </ns0:t>
      </ns0:r>
      <ns0:r>
        <ns0:rPr>
          <ns0:rFonts ns0:ascii="Calibri" ns0:hAnsi="Calibri"/>
          <ns0:color ns0:val="1F2D3D"/>
          <ns0:sz ns0:val="21"/>
        </ns0:rPr>
        <ns0:t>SYNTHETIC DEMO - NOT LEGAL ADVICE</ns0:t>
      </ns0:r>
    </ns0:p>
    <ns0:p>
      <ns0:pPr>
        <ns0:spacing ns0:before="200" ns0:after="200"/>
        <ns0:ind ns0:left="288" ns0:right="288"/>
      </ns0:pPr>
      <ns0:r>
        <ns0:rPr>
          <ns0:rFonts ns0:ascii="Calibri" ns0:hAnsi="Calibri"/>
          <ns0:i/>
          <ns0:color ns0:val="504119"/>
          <ns0:sz ns0:val="21"/>
        </ns0:rPr>
        <ns0:t>This non-binding synthetic term sheet is designed for issue extraction, approval mapping, and closing-task generation. Dollar amounts and parties are entirely fictional.</ns0:t>
      </ns0:r>
    </ns0:p>
    <ns0:p>
      <ns0:pPr>
        <ns0:pStyle ns0:val="Heading1"/>
        <ns0:numPr>
          <ns0:ilvl ns0:val="0"/>
          <ns0:numId ns0:val="10"/>
        </ns0:numPr>
      </ns0:pPr>
      <ns0:r>
        <ns0:t>Offering</ns0:t>
      </ns0:r>
    </ns0:p>
    <ns0:p>
      <ns0:r>
        <ns0:t>HarborLight Robotics, Inc., a Delaware corporation, will issue Series Seed Preferred Stock for aggregate gross proceeds of $4,500,000 at $2.25 per share. Crescent Ventures I, L.P. will invest $3,000,000 as lead investor; other accredited investors will purchase the balance.</ns0:t>
      </ns0:r>
    </ns0:p>
    <ns0:p>
      <ns0:r>
        <ns0:t>The pre-money valuation is $13,500,000 on a fully diluted basis, including an unallocated employee option pool equal to 12% of post-closing capitalization. The company will bear up to $40,000 of the lead investor's reasonable legal fees at closing.</ns0:t>
      </ns0:r>
    </ns0:p>
    <ns0:p>
      <ns0:pPr>
        <ns0:pStyle ns0:val="Heading1"/>
        <ns0:numPr>
          <ns0:ilvl ns0:val="0"/>
          <ns0:numId ns0:val="10"/>
        </ns0:numPr>
      </ns0:pPr>
      <ns0:r>
        <ns0:t>Liquidation Preference</ns0:t>
      </ns0:r>
    </ns0:p>
    <ns0:p>
      <ns0:r>
        <ns0:t>The Series Seed will carry a one-times non-participating liquidation preference senior to common stock, plus declared but unpaid dividends. Holders may instead convert to common stock if that produces a greater return.</ns0:t>
      </ns0:r>
    </ns0:p>
    <ns0:p>
      <ns0:pPr>
        <ns0:pStyle ns0:val="Heading1"/>
        <ns0:numPr>
          <ns0:ilvl ns0:val="0"/>
          <ns0:numId ns0:val="10"/>
        </ns0:numPr>
      </ns0:pPr>
      <ns0:r>
        <ns0:t>Dividends and Conversion</ns0:t>
      </ns0:r>
    </ns0:p>
    <ns0:p>
      <ns0:r>
        <ns0:t>Non-cumulative dividends will be payable when and if declared. Series Seed will convert voluntarily at the holder's option and automatically upon a qualified public offering or approval of holders of at least 60% of the Series Seed.</ns0:t>
      </ns0:r>
    </ns0:p>
    <ns0:p>
      <ns0:pPr>
        <ns0:pStyle ns0:val="Heading1"/>
        <ns0:numPr>
          <ns0:ilvl ns0:val="0"/>
          <ns0:numId ns0:val="10"/>
        </ns0:numPr>
      </ns0:pPr>
      <ns0:r>
        <ns0:t>Protective Provisions</ns0:t>
      </ns0:r>
    </ns0:p>
    <ns0:p>
      <ns0:r>
        <ns0:t>Approval of at least 60% of the Series Seed is required to amend the charter adversely, authorize senior or pari passu securities, redeem shares, declare dividends, incur debt above $1,000,000 outside the approved budget, sell substantially all assets, change the board size, or enter a related-party transaction above $100,000.</ns0:t>
      </ns0:r>
    </ns0:p>
    <ns0:p>
      <ns0:pPr>
        <ns0:pStyle ns0:val="Heading1"/>
        <ns0:numPr>
          <ns0:ilvl ns0:val="0"/>
          <ns0:numId ns0:val="10"/>
        </ns0:numPr>
      </ns0:pPr>
      <ns0:r>
        <ns0:t>Board Composition</ns0:t>
      </ns0:r>
    </ns0:p>
    <ns0:p>
      <ns0:r>
        <ns0:t>At closing the board will have five seats: two designated by common holders, one designated by Crescent Ventures, the chief executive officer, and one independent director mutually approved by the company and Crescent Ventures within 90 days after closing.</ns0:t>
      </ns0:r>
    </ns0:p>
    <ns0:p>
      <ns0:pPr>
        <ns0:pStyle ns0:val="Heading1"/>
        <ns0:numPr>
          <ns0:ilvl ns0:val="0"/>
          <ns0:numId ns0:val="10"/>
        </ns0:numPr>
      </ns0:pPr>
      <ns0:r>
        <ns0:t>Investor Rights</ns0:t>
      </ns0:r>
    </ns0:p>
    <ns0:p>
      <ns0:r>
        <ns0:t>Major Investors purchasing at least $500,000 will receive customary quarterly and annual information rights, inspection rights on reasonable notice, pro rata participation rights, and registration rights. Information rights are subject to privilege and competitively sensitive-information protections to be negotiated.</ns0:t>
      </ns0:r>
    </ns0:p>
    <ns0:p>
      <ns0:pPr>
        <ns0:pStyle ns0:val="Heading1"/>
        <ns0:numPr>
          <ns0:ilvl ns0:val="0"/>
          <ns0:numId ns0:val="10"/>
        </ns0:numPr>
      </ns0:pPr>
      <ns0:r>
        <ns0:t>Founder Matters</ns0:t>
      </ns0:r>
    </ns0:p>
    <ns0:p>
      <ns0:r>
        <ns0:t>Each founder will sign a proprietary-information and inventions agreement. Fifty percent of each founder's currently vested common shares will become subject to monthly reverse vesting over 24 months, with double-trigger acceleration of 25% following a qualifying termination after a change of control.</ns0:t>
      </ns0:r>
    </ns0:p>
    <ns0:p>
      <ns0:pPr>
        <ns0:pStyle ns0:val="Heading1"/>
        <ns0:numPr>
          <ns0:ilvl ns0:val="0"/>
          <ns0:numId ns0:val="10"/>
        </ns0:numPr>
      </ns0:pPr>
      <ns0:r>
        <ns0:t>Conditions to Closing</ns0:t>
      </ns0:r>
    </ns0:p>
    <ns0:p>
      <ns0:r>
        <ns0:t>Closing is targeted for September 15, 2026 and is conditioned on satisfactory diligence, definitive documents, board and stockholder approvals, charter filing, securities-law compliance, a capitalization certificate, invention assignments, key-person employment arrangements, and no material adverse change.</ns0:t>
      </ns0:r>
    </ns0:p>
    <ns0:p>
      <ns0:pPr>
        <ns0:pStyle ns0:val="Heading1"/>
        <ns0:numPr>
          <ns0:ilvl ns0:val="0"/>
          <ns0:numId ns0:val="10"/>
        </ns0:numPr>
      </ns0:pPr>
      <ns0:r>
        <ns0:t>Exclusivity and Confidentiality</ns0:t>
      </ns0:r>
    </ns0:p>
    <ns0:p>
      <ns0:r>
        <ns0:t>For 45 days after signing, the company will not solicit or negotiate another equity financing or sale transaction. The term sheet and negotiations are confidential, except disclosures to representatives and as required by law.</ns0:t>
      </ns0:r>
    </ns0:p>
    <ns0:p>
      <ns0:pPr>
        <ns0:pStyle ns0:val="Heading1"/>
        <ns0:numPr>
          <ns0:ilvl ns0:val="0"/>
          <ns0:numId ns0:val="10"/>
        </ns0:numPr>
      </ns0:pPr>
      <ns0:r>
        <ns0:t>Effect</ns0:t>
      </ns0:r>
    </ns0:p>
    <ns0:p>
      <ns0:r>
        <ns0:t>Only exclusivity, confidentiality, expenses, governing law, and this Effect section are binding. Delaware law governs. Definitive agreements and required corporate approvals control the financing.</ns0:t>
      </ns0:r>
    </ns0:p>
    <ns0:p>
      <ns0:pPr>
        <ns0:pStyle ns0:val="Heading1"/>
        <ns0:keepNext/>
      </ns0:pPr>
      <ns0:r>
        <ns0:t>Research basis</ns0:t>
      </ns0:r>
    </ns0:p>
    <ns0:p>
      <ns0:pPr>
        <ns0:keepNext/>
      </ns0:pPr>
      <ns0:r>
        <ns0:t>These sources informed the fictional issue pattern and document structure. They are not incorporated into the agreement and are not a substitute for jurisdiction-specific review.</ns0:t>
      </ns0:r>
    </ns0:p>
    <ns0:p>
      <ns0:pPr>
        <ns0:numPr>
          <ns0:ilvl ns0:val="0"/>
          <ns0:numId ns0:val="11"/>
        </ns0:numPr>
      </ns0:pPr>
      <ns0:r>
        <ns0:t>Delaware General Corporation Law, 8 Del. C. Section 141: https://delcode.delaware.gov/title8/c001/sc04/index.html#141</ns0:t>
      </ns0:r>
    </ns0:p>
    <ns0:sectPr>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06973"/>
        <w:sz w:val="18"/>
      </w:rPr>
      <w:t xml:space="preserve">Series Seed Preferred Stock Term Sheet  |  Page </w:t>
    </w:r>
    <w:r>
      <w:rPr>
        <w:rFonts w:ascii="Calibri" w:hAnsi="Calibri"/>
        <w:color w:val="6069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8B2500"/>
        <w:sz w:val="17"/>
      </w:rPr>
      <w:t>SYNTHETIC DEMO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540"/>
        </w:tabs>
        <w:ind w:left="540" w:hanging="270"/>
        <w:spacing w:after="120" w:line="280" w:lineRule="auto"/>
      </w:pPr>
    </w:lvl>
  </w:abstractNum>
  <w:num w:numId="10">
    <w:abstractNumId w:val="9"/>
  </w:num>
  <w:abstractNum w:abstractNumId="10">
    <w:multiLevelType w:val="singleLevel"/>
    <w:lvl w:ilvl="0">
      <w:start w:val="1"/>
      <w:numFmt w:val="bullet"/>
      <w:lvlText w:val="-"/>
      <w:pPr>
        <w:tabs>
          <w:tab w:val="num" w:pos="540"/>
        </w:tabs>
        <w:ind w:left="540" w:hanging="270"/>
        <w:spacing w:after="120" w:line="280" w:lineRule="auto"/>
      </w:pPr>
    </w:lvl>
  </w:abstractNum>
  <w:num w:numId="11">
    <w:abstractNumId w:val="1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pPr>
      <ns0:spacing ns0:before="0" ns0:after="120" ns0:line="264" ns0:lineRule="auto"/>
    </ns0:pPr>
    <ns0:rPr>
      <ns0:rFonts ns0:ascii="Calibri" ns0:hAnsi="Calibri"/>
      <ns0:b ns0:val="0"/>
      <ns0:color ns0:val="1F2D3D"/>
      <ns0:sz ns0:val="22"/>
    </ns0:rPr>
  </ns0:style>
  <ns0:style ns0:type="paragraph" ns0:styleId="Header">
    <ns0:name ns0:val="header"/>
    <ns0:basedOn ns0:val="Normal"/>
    <ns0:link ns0:val="HeaderChar"/>
    <ns0:uiPriority ns0:val="99"/>
    <ns0:unhideWhenUsed/>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style>
  <ns0:style ns0:type="paragraph" ns0:styleId="Footer">
    <ns0:name ns0:val="footer"/>
    <ns0:basedOn ns0:val="Normal"/>
    <ns0:link ns0:val="FooterChar"/>
    <ns0:uiPriority ns0:val="99"/>
    <ns0:unhideWhenUsed/>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style>
  <ns0:style ns0:type="paragraph" ns0:styleId="Heading1">
    <ns0:name ns0:val="heading 1"/>
    <ns0:basedOn ns0:val="Normal"/>
    <ns0:next ns0:val="Normal"/>
    <ns0:link ns0:val="Heading1Char"/>
    <ns0:uiPriority ns0:val="9"/>
    <ns0:qFormat/>
    <ns0:pPr>
      <ns0:keepNext/>
      <ns0:keepLines/>
      <ns0:spacing ns0:before="320" ns0:after="160" ns0:line="264" ns0:lineRule="auto"/>
      <ns0:outlineLvl ns0:val="0"/>
    </ns0:pPr>
    <ns0:rPr>
      <ns0:rFonts ns0:asciiTheme="majorHAnsi" ns0:eastAsiaTheme="majorEastAsia" ns0:hAnsiTheme="majorHAnsi" ns0:cstheme="majorBidi" ns0:ascii="Calibri" ns0:hAnsi="Calibri"/>
      <ns0:b/>
      <ns0:bCs/>
      <ns0:color ns0:val="2E74B5"/>
      <ns0:sz ns0:val="32"/>
      <ns0:szCs ns0:val="28"/>
    </ns0:rPr>
  </ns0:style>
  <ns0:style ns0:type="paragraph" ns0:styleId="Heading2">
    <ns0:name ns0:val="heading 2"/>
    <ns0:basedOn ns0:val="Normal"/>
    <ns0:next ns0:val="Normal"/>
    <ns0:link ns0:val="Heading2Char"/>
    <ns0:uiPriority ns0:val="9"/>
    <ns0:unhideWhenUsed/>
    <ns0:qFormat/>
    <ns0:pPr>
      <ns0:keepNext/>
      <ns0:keepLines/>
      <ns0:spacing ns0:before="240" ns0:after="120" ns0:line="264" ns0:lineRule="auto"/>
      <ns0:outlineLvl ns0:val="1"/>
    </ns0:pPr>
    <ns0:rPr>
      <ns0:rFonts ns0:asciiTheme="majorHAnsi" ns0:eastAsiaTheme="majorEastAsia" ns0:hAnsiTheme="majorHAnsi" ns0:cstheme="majorBidi" ns0:ascii="Calibri" ns0:hAnsi="Calibri"/>
      <ns0:b/>
      <ns0:bCs/>
      <ns0:color ns0:val="2E74B5"/>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style>
  <ns0:style ns0:type="paragraph" ns0:styleId="Heading1">
    <ns0:name ns0:val="heading 1"/>
    <ns0:basedOn ns0:val="Normal"/>
    <ns0:next ns0:val="Normal"/>
    <ns0:link ns0:val="Heading1Char"/>
    <ns0:uiPriority ns0:val="9"/>
    <ns0:qFormat/>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Seed Preferred Stock Term Sheet</dc:title>
  <dc:subject>SYNTHETIC DEMO - NOT LEGAL ADVICE</dc:subject>
  <dc:creator/>
  <cp:keywords/>
  <dc:description>Fictional BK24 corporate-law demonstration document.</dc:description>
  <cp:lastModifiedBy/>
  <cp:revision>1</cp:revision>
  <dcterms:created xsi:type="dcterms:W3CDTF">2013-12-23T23:15:00Z</dcterms:created>
  <dcterms:modified xsi:type="dcterms:W3CDTF">2013-12-23T23:15:00Z</dcterms:modified>
  <cp:category/>
</cp:coreProperties>
</file>