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Demand Response and Preservation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Sunbeam Drone Delivery, Inc. - Rooftop Delivery Dispute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Sunbeam Drone - Rooftop Delivery Demand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fictional rooftop delivery pilot ended with a damaged greenhouse, a viral video, and a demand letter that arrives before the insurer has finished its factual review.</ns0:t>
      </ns0:r>
    </ns0:p>
    <ns0:p>
      <ns0:pPr>
        <ns0:pStyle ns0:val="Heading1"/>
        <ns0:numPr>
          <ns0:ilvl ns0:val="0"/>
          <ns0:numId ns0:val="10"/>
        </ns0:numPr>
      </ns0:pPr>
      <ns0:r>
        <ns0:t>Background and Working Facts</ns0:t>
      </ns0:r>
    </ns0:p>
    <ns0:p>
      <ns0:r>
        <ns0:t>On August 14, a pilot drone landed on the wrong roof after a GPS confidence score fell below the operator's internal threshold. The drone clipped a greenhouse panel and scattered potting soil over an adjoining patio. No person was injured.</ns0:t>
      </ns0:r>
    </ns0:p>
    <ns0:p>
      <ns0:r>
        <ns0:t>The building owner demands $185,000, alleges that a sales representative promised fully autonomous flight, and asks for preservation of flight logs, customer-support messages, the pilot agreement, and marketing videos.</ns0:t>
      </ns0:r>
    </ns0:p>
    <ns0:p>
      <ns0:r>
        <ns0:t>Sunbeam's operations lead says the pilot agreement contains a $25,000 property-damage cap and a 30-day claim notice clause, but the neighborhood marketing reel uses the phrase 'hands-free delivery, every time.'</ns0:t>
      </ns0:r>
    </ns0:p>
    <ns0:p>
      <ns0:pPr>
        <ns0:pStyle ns0:val="Heading1"/>
        <ns0:numPr>
          <ns0:ilvl ns0:val="0"/>
          <ns0:numId ns0:val="10"/>
        </ns0:numPr>
      </ns0:pPr>
      <ns0:r>
        <ns0:t>Risk and Issue Map</ns0:t>
      </ns0:r>
    </ns0:p>
    <ns0:p>
      <ns0:r>
        <ns0:t>Preservation must cover telemetry, video, dispatch messages, maintenance records, insurance notice, and public posts before routine retention deletes them.</ns0:t>
      </ns0:r>
    </ns0:p>
    <ns0:p>
      <ns0:r>
        <ns0:t>The contract cap, notice clause, and insurance allocation must be compared with the claimant's tort theories and the representative's alleged statement.</ns0:t>
      </ns0:r>
    </ns0:p>
    <ns0:p>
      <ns0:r>
        <ns0:t>The team needs a privileged chronology that separates confirmed facts from the viral video's commentary and identifies who may speak externally.</ns0:t>
      </ns0:r>
    </ns0:p>
    <ns0:p>
      <ns0:pPr>
        <ns0:pStyle ns0:val="Heading1"/>
        <ns0:numPr>
          <ns0:ilvl ns0:val="0"/>
          <ns0:numId ns0:val="10"/>
        </ns0:numPr>
      </ns0:pPr>
      <ns0:r>
        <ns0:t>Options and Decisions Needed</ns0:t>
      </ns0:r>
    </ns0:p>
    <ns0:p>
      <ns0:r>
        <ns0:t>Decide whether to issue a litigation hold to pilot personnel and the marketing agency today.</ns0:t>
      </ns0:r>
    </ns0:p>
    <ns0:p>
      <ns0:r>
        <ns0:t>Choose a response posture: request supporting invoices, make a nuisance-value offer, or preserve defenses while the carrier investigates.</ns0:t>
      </ns0:r>
    </ns0:p>
    <ns0:p>
      <ns0:r>
        <ns0:t>Approve a temporary pause on rooftop demos and a corrected marketing review until the incident facts are stable.</ns0:t>
      </ns0:r>
    </ns0:p>
    <ns0:p>
      <ns0:pPr>
        <ns0:pStyle ns0:val="Heading1"/>
        <ns0:numPr>
          <ns0:ilvl ns0:val="0"/>
          <ns0:numId ns0:val="10"/>
        </ns0:numPr>
      </ns0:pPr>
      <ns0:r>
        <ns0:t>90-Day Action Plan</ns0:t>
      </ns0:r>
    </ns0:p>
    <ns0:p>
      <ns0:r>
        <ns0:t>Priority 1: Issue legal hold and preserve flight, marketing, and support records.</ns0:t>
      </ns0:r>
    </ns0:p>
    <ns0:p>
      <ns0:r>
        <ns0:t>Priority 2: Map contract, insurance, and agency-notice deadlines.</ns0:t>
      </ns0:r>
    </ns0:p>
    <ns0:p>
      <ns0:r>
        <ns0:t>Priority 3: Prepare demand-response chronology and settlement authority memo.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Build a claim chronology, identify the preservation steps, and draft a measured response that does not concede the disputed marketing statement.</ns0:t>
      </ns0:r>
    </ns0:p>
    <ns0:p>
      <ns0:r>
        <ns0:t>Use this scenario to demonstrate document-grounded analysis, a matter timeline, task creation, and an attorney review workflow. Confirm jurisdiction-specific law and facts before acting outside this fictional demonstration.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Demand Response and Preservation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Response and Preservation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