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Demand Response and Preservation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Sunbeam Drone Delivery, Inc. - Rooftop Delivery Dispute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Sunbeam Drone - Rooftop Delivery Demand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fictional rooftop delivery pilot ended with a damaged greenhouse, a viral video, and a demand letter that arrives before the insurer has finished its factual review.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On August 14, a pilot drone landed on the wrong roof after a GPS confidence score fell below the operator's internal threshold. The drone clipped a greenhouse panel and scattered potting soil over an adjoining patio. No person was injured.</ns0:t>
      </ns0:r>
    </ns0:p>
    <ns0:p>
      <ns0:r>
        <ns0:t>The building owner demands $185,000, alleges that a sales representative promised fully autonomous flight, and asks for preservation of flight logs, customer-support messages, the pilot agreement, and marketing videos.</ns0:t>
      </ns0:r>
    </ns0:p>
    <ns0:p>
      <ns0:r>
        <ns0:t>Sunbeam's operations lead says the pilot agreement contains a $25,000 property-damage cap and a 30-day claim notice clause, but the neighborhood marketing reel uses the phrase 'hands-free delivery, every time.'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Preservation must cover telemetry, video, dispatch messages, maintenance records, insurance notice, and public posts before routine retention deletes them.</ns0:t>
      </ns0:r>
    </ns0:p>
    <ns0:p>
      <ns0:r>
        <ns0:t>The contract cap, notice clause, and insurance allocation must be compared with the claimant's tort theories and the representative's alleged statement.</ns0:t>
      </ns0:r>
    </ns0:p>
    <ns0:p>
      <ns0:r>
        <ns0:t>The team needs a privileged chronology that separates confirmed facts from the viral video's commentary and identifies who may speak externally.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Decide whether to issue a litigation hold to pilot personnel and the marketing agency today.</ns0:t>
      </ns0:r>
    </ns0:p>
    <ns0:p>
      <ns0:r>
        <ns0:t>Choose a response posture: request supporting invoices, make a nuisance-value offer, or preserve defenses while the carrier investigates.</ns0:t>
      </ns0:r>
    </ns0:p>
    <ns0:p>
      <ns0:r>
        <ns0:t>Approve a temporary pause on rooftop demos and a corrected marketing review until the incident facts are stable.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Issue legal hold and preserve flight, marketing, and support records.</ns0:t>
      </ns0:r>
    </ns0:p>
    <ns0:p>
      <ns0:r>
        <ns0:t>Priority 2: Map contract, insurance, and agency-notice deadlines.</ns0:t>
      </ns0:r>
    </ns0:p>
    <ns0:p>
      <ns0:r>
        <ns0:t>Priority 3: Prepare demand-response chronology and settlement authority memo.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Build a claim chronology, identify the preservation steps, and draft a measured response that does not concede the disputed marketing statement.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Demand Response and Preservation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 Response and Preservation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