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Sleepy Tea Label and Campaign Review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FreshNest Pantry Brands, Inc. - Chamomile Blend Refresh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FreshNest - Sleepy Tea Label Refresh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tea company wants to make its calming blend feel more magical for a grocery reset, but the draft label moves from 'bedtime ritual' toward claims that sound like treatment.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The proposed carton says 'clinically proven to fix restless nights' and the social campaign uses before-and-after sleep-tracker screenshots from employees.</ns0:t>
      </ns0:r>
    </ns0:p>
    <ns0:p>
      <ns0:r>
        <ns0:t>The formula is a familiar herbal blend, the company has taste-test feedback and supplier specifications, but it has not commissioned clinical research on the finished product.</ns0:t>
      </ns0:r>
    </ns0:p>
    <ns0:p>
      <ns0:r>
        <ns0:t>Retail wants final copy in ten days, and the customer-care team asks whether they should remove comments from buyers who say the tea replaced prescribed medication.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Product, structure/function, and disease-style language must be separated from unsupported wellness storytelling.</ns0:t>
      </ns0:r>
    </ns0:p>
    <ns0:p>
      <ns0:r>
        <ns0:t>Testimonials, employee screenshots, and influencer briefs need substantiation, disclosure, and moderation guidance.</ns0:t>
      </ns0:r>
    </ns0:p>
    <ns0:p>
      <ns0:r>
        <ns0:t>The company needs a durable approval record so future seasonal campaigns do not reintroduce rejected claims.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Approve compliant claim ranges and the evidence needed for each tier of marketing language.</ns0:t>
      </ns0:r>
    </ns0:p>
    <ns0:p>
      <ns0:r>
        <ns0:t>Decide whether to delay the carton, use a bridge label, or remove the problematic campaign claims.</ns0:t>
      </ns0:r>
    </ns0:p>
    <ns0:p>
      <ns0:r>
        <ns0:t>Set an escalation rule for medication-replacement comments and customer-service scripts.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Redline label and campaign claims by support level.</ns0:t>
      </ns0:r>
    </ns0:p>
    <ns0:p>
      <ns0:r>
        <ns0:t>Priority 2: Create testimonial, influencer, and moderation guidance.</ns0:t>
      </ns0:r>
    </ns0:p>
    <ns0:p>
      <ns0:r>
        <ns0:t>Priority 3: Prepare retailer deadline plan and approval archive.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Classify the proposed claims, suggest safer alternatives, and build a ten-day approval plan for the label refresh.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Sleepy Tea Label and Campaign Review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Sleepy Tea Label and Campaign Review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