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Co-Founder Separation Board File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Atlas Grove Software, Inc. - Fictional Governance Review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Atlas Grove - Co-Founder Separation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venture-backed software company needs a calm plan after its product co-founder announces an immediate departure while retaining board rights, unvested equity, and access to key customer relationships.</w:t>
      </w:r>
    </w:p>
    <w:p>
      <w:pPr>
        <w:pStyle w:val="Heading1"/>
        <w:numPr>
          <w:ilvl w:val="0"/>
          <w:numId w:val="10"/>
        </w:numPr>
      </w:pPr>
      <w:r>
        <w:t>Background and Working Facts</w:t>
      </w:r>
    </w:p>
    <w:p>
      <w:r>
        <w:t>The co-founder holds vested common stock and unvested restricted stock subject to a repurchase right. The board appointment was made under a voting agreement that also identifies an investor designee.</w:t>
      </w:r>
    </w:p>
    <w:p>
      <w:r>
        <w:t>The company needs transition help on two customer renewals and a source-code release. The employment agreement includes confidentiality and invention-assignment language but no detailed transition schedule.</w:t>
      </w:r>
    </w:p>
    <w:p>
      <w:r>
        <w:t>Management has drafted an internal announcement, a consulting proposal, and a repurchase calculation. None has been approved by the board or reviewed against the charter, voting agreement, equity records, and employment documents.</w:t>
      </w:r>
    </w:p>
    <w:p>
      <w:pPr>
        <w:pStyle w:val="Heading1"/>
        <w:numPr>
          <w:ilvl w:val="0"/>
          <w:numId w:val="10"/>
        </w:numPr>
      </w:pPr>
      <w:r>
        <w:t>Risk and Issue Map</w:t>
      </w:r>
    </w:p>
    <w:p>
      <w:r>
        <w:t>Authority, board process, conflicts, notice, and approval thresholds should be mapped before any separation package is offered.</w:t>
      </w:r>
    </w:p>
    <w:p>
      <w:r>
        <w:t>Equity treatment, repurchase timing, board rights, continuing duties, and consulting scope must be reconciled across multiple governing documents.</w:t>
      </w:r>
    </w:p>
    <w:p>
      <w:r>
        <w:t>Customer, employee, and investor communications need a coordinated review that avoids implying an approved outcome prematurely.</w:t>
      </w:r>
    </w:p>
    <w:p>
      <w:pPr>
        <w:pStyle w:val="Heading1"/>
        <w:numPr>
          <w:ilvl w:val="0"/>
          <w:numId w:val="10"/>
        </w:numPr>
      </w:pPr>
      <w:r>
        <w:t>Options and Decisions Needed</w:t>
      </w:r>
    </w:p>
    <w:p>
      <w:r>
        <w:t>Confirm who may negotiate for the company and whether any director should abstain.</w:t>
      </w:r>
    </w:p>
    <w:p>
      <w:r>
        <w:t>Approve a separation term range, transition services, and equity calculation subject to final documentation.</w:t>
      </w:r>
    </w:p>
    <w:p>
      <w:r>
        <w:t>Set the sequence for board action, signing, access changes, and stakeholder communications.</w:t>
      </w:r>
    </w:p>
    <w:p>
      <w:pPr>
        <w:pStyle w:val="Heading1"/>
        <w:numPr>
          <w:ilvl w:val="0"/>
          <w:numId w:val="10"/>
        </w:numPr>
      </w:pPr>
      <w:r>
        <w:t>90-Day Action Plan</w:t>
      </w:r>
    </w:p>
    <w:p>
      <w:r>
        <w:t>Priority 1: Map charter, voting, equity, and employment approval requirements.</w:t>
      </w:r>
    </w:p>
    <w:p>
      <w:r>
        <w:t>Priority 2: Reconcile vesting, repurchase, and consulting terms.</w:t>
      </w:r>
    </w:p>
    <w:p>
      <w:r>
        <w:t>Priority 3: Prepare board consent and coordinated communication plan.</w:t>
      </w:r>
    </w:p>
    <w:p>
      <w:pPr>
        <w:pStyle w:val="Heading1"/>
        <w:numPr>
          <w:ilvl w:val="0"/>
          <w:numId w:val="10"/>
        </w:numPr>
      </w:pPr>
      <w:r>
        <w:t>Guided Demo Question</w:t>
      </w:r>
    </w:p>
    <w:p>
      <w:r>
        <w:t>Compare the founder's governing documents, identify required approvals and conflicts, and prepare a sequenced board-and-separation checklist.</w:t>
      </w:r>
    </w:p>
    <w:p>
      <w:r>
        <w:t>Use this scenario to demonstrate document-grounded analysis, a matter timeline, task creation, and an attorney review workflow. Confirm jurisdiction-specific law and facts before acting outside this fictional demonstration.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Co-Founder Separation Board File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Co-Founder Separation Board File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