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Atlas Grove - Co-Founder Separation | Client Intake and Contact Profile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client file · privileged demonstration work paper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Atlas Grove - Co-Founder Separation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18,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venture-backed software company needs a calm plan after its product co-founder announces an immediate departure while retaining board rights, unvested equity, and access to key customer relationships.</w:t>
      </w:r>
    </w:p>
    <w:p>
      <w:pPr>
        <w:pStyle w:val="Heading1"/>
        <w:numPr>
          <w:ilvl w:val="0"/>
          <w:numId w:val="10"/>
        </w:numPr>
      </w:pPr>
      <w:r>
        <w:t>Client Profile</w:t>
      </w:r>
    </w:p>
    <w:p>
      <w:r>
        <w:t>Organization: Atlas Grove Software, Inc. (fictional)</w:t>
      </w:r>
    </w:p>
    <w:p>
      <w:r>
        <w:t>Primary contact: Priya Raman, Chief Executive Officer</w:t>
      </w:r>
    </w:p>
    <w:p>
      <w:r>
        <w:t>Secondary contact: Elena Voss, Finance Director</w:t>
      </w:r>
    </w:p>
    <w:p>
      <w:r>
        <w:t>Office: 77 Trailhead Avenue, Columbus, OH 43215</w:t>
      </w:r>
    </w:p>
    <w:p>
      <w:r>
        <w:t>Direct line: +1-202-555-0127 · Email: priya.raman@example.invalid</w:t>
      </w:r>
    </w:p>
    <w:p>
      <w:r>
        <w:t>Client since: 2022-09-15 · Preferred contact: email · Weekdays after 3:00 p.m. local time</w:t>
      </w:r>
    </w:p>
    <w:p>
      <w:r>
        <w:t>Billing profile: Monthly itemized invoice; electronic delivery; client approval required before third-party spend.</w:t>
      </w:r>
    </w:p>
    <w:p>
      <w:pPr>
        <w:pStyle w:val="Heading1"/>
        <w:numPr>
          <w:ilvl w:val="0"/>
          <w:numId w:val="10"/>
        </w:numPr>
      </w:pPr>
      <w:r>
        <w:t>Initial Intake</w:t>
      </w:r>
    </w:p>
    <w:p>
      <w:r>
        <w:t>A venture-backed software company needs a calm plan after its product co-founder announces an immediate departure while retaining board rights, unvested equity, and access to key customer relationships.</w:t>
      </w:r>
    </w:p>
    <w:p>
      <w:r>
        <w:t>Conflict check recorded as cleared for this fictional demonstration file.</w:t>
      </w:r>
    </w:p>
    <w:p>
      <w:r>
        <w:t>Client asked for a practical work plan, source-grounded risk summary, and attorney-reviewed communications.</w:t>
      </w:r>
    </w:p>
    <w:p>
      <w:pPr>
        <w:pStyle w:val="Heading1"/>
        <w:numPr>
          <w:ilvl w:val="0"/>
          <w:numId w:val="10"/>
        </w:numPr>
      </w:pPr>
      <w:r>
        <w:t>Other Known Parties</w:t>
      </w:r>
    </w:p>
    <w:p>
      <w:r>
        <w:t>Counterparty or stakeholder: Cameron Vale (fictional).</w:t>
      </w:r>
    </w:p>
    <w:p>
      <w:r>
        <w:t>Primary outside contact: Cameron Vale (counterparty-18@example.invalid).</w:t>
      </w:r>
    </w:p>
    <w:p>
      <w:r>
        <w:t>Party information is fictional and is included solely to demonstrate a complete matter file.</w:t>
      </w:r>
    </w:p>
    <w:p>
      <w:pPr>
        <w:pStyle w:val="Heading1"/>
        <w:numPr>
          <w:ilvl w:val="0"/>
          <w:numId w:val="10"/>
        </w:numPr>
      </w:pPr>
      <w:r>
        <w:t>Open Questions for Counsel</w:t>
      </w:r>
    </w:p>
    <w:p>
      <w:r>
        <w:t>Confirm governing documents, venue, and jurisdiction-specific requirements before advice or external action.</w:t>
      </w:r>
    </w:p>
    <w:p>
      <w:r>
        <w:t>Confirm the client representative's authority and any insurance, notice, or consent obligations.</w:t>
      </w:r>
    </w:p>
    <w:p>
      <w:r>
        <w:t>Identify records that require preservation or privilege treatment.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Atlas Grove - Co-Founder Separation | Client Intake and Contact Profile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Grove - Co-Founder Separation | Client Intake and Contact Profile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