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Cedar Lane - Cyclist Intersection Claim | Chronology and Document Index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matter chronology · review and production tracker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Cedar Lane - Cyclist Intersection Claim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20,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review-ready index that connects the fictional matter's key events, custodians, and source records.</w:t>
      </w:r>
    </w:p>
    <w:p>
      <w:pPr>
        <w:pStyle w:val="Heading1"/>
        <w:numPr>
          <w:ilvl w:val="0"/>
          <w:numId w:val="10"/>
        </w:numPr>
      </w:pPr>
      <w:r>
        <w:t>Working Chronology</w:t>
      </w:r>
    </w:p>
    <w:p>
      <w:r>
        <w:t>Day 0 - Intake opened after Maya Chen reported the central issue: A bicycle commuter is recovering from a fractured wrist after a delivery van turned across a marked bike lane, while the available video and insurance accounts do not yet line up.</w:t>
      </w:r>
    </w:p>
    <w:p>
      <w:r>
        <w:t>Day 1 - Counsel requested the first preservation set and assigned send video, telematics, and dispatch preservation requests.</w:t>
      </w:r>
    </w:p>
    <w:p>
      <w:r>
        <w:t>Day 3 - Sofia Lin confirmed the internal records owner and outstanding information gaps.</w:t>
      </w:r>
    </w:p>
    <w:p>
      <w:r>
        <w:t>Next milestone - Complete build medical treatment, expense, and lost-time chronology before the scheduled attorney review.</w:t>
      </w:r>
    </w:p>
    <w:p>
      <w:pPr>
        <w:pStyle w:val="Heading1"/>
        <w:numPr>
          <w:ilvl w:val="0"/>
          <w:numId w:val="10"/>
        </w:numPr>
      </w:pPr>
      <w:r>
        <w:t>Document and Evidence Index</w:t>
      </w:r>
    </w:p>
    <w:p>
      <w:r>
        <w:t>INT-001 - Client intake and contact profile; source: primary client contact; status: reviewed.</w:t>
      </w:r>
    </w:p>
    <w:p>
      <w:r>
        <w:t>COM-001 - Communications and 30-day work plan; source: matter team; status: working draft.</w:t>
      </w:r>
    </w:p>
    <w:p>
      <w:r>
        <w:t>SRC-001 - Primary scenario document; source: synthetic client file; status: indexed for demo search.</w:t>
      </w:r>
    </w:p>
    <w:p>
      <w:r>
        <w:t>REQ-001 - Outstanding records request; owner: secondary client contact; status: pending.</w:t>
      </w:r>
    </w:p>
    <w:p>
      <w:pPr>
        <w:pStyle w:val="Heading1"/>
        <w:numPr>
          <w:ilvl w:val="0"/>
          <w:numId w:val="10"/>
        </w:numPr>
      </w:pPr>
      <w:r>
        <w:t>Custodians and Review Owners</w:t>
      </w:r>
    </w:p>
    <w:p>
      <w:r>
        <w:t>Client decision-maker: Maya Chen (Client).</w:t>
      </w:r>
    </w:p>
    <w:p>
      <w:r>
        <w:t>Records and billing contact: Sofia Lin (Records Contact).</w:t>
      </w:r>
    </w:p>
    <w:p>
      <w:r>
        <w:t>External stakeholder: Dana Walsh for QuickCrate Delivery, Inc. (fictional).</w:t>
      </w:r>
    </w:p>
    <w:p>
      <w:r>
        <w:t>Matter lead: Jordan Lee (synthetic); final legal conclusions and external communications require attorney approval.</w:t>
      </w:r>
    </w:p>
    <w:p>
      <w:pPr>
        <w:pStyle w:val="Heading1"/>
        <w:numPr>
          <w:ilvl w:val="0"/>
          <w:numId w:val="10"/>
        </w:numPr>
      </w:pPr>
      <w:r>
        <w:t>Next Review</w:t>
      </w:r>
    </w:p>
    <w:p>
      <w:r>
        <w:t>Use the guided question: Build a pre-suit investigation plan, identify expiring evidence, and organize the medical and insurer follow-up without estimating claim value.</w:t>
      </w:r>
    </w:p>
    <w:p>
      <w:r>
        <w:t>Immediate action: Send video, telematics, and dispatch preservation requests.</w:t>
      </w:r>
    </w:p>
    <w:p>
      <w:r>
        <w:t>Confirm document completeness, privilege, and governing-law assumptions before reliance or production.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Cedar Lane - Cyclist Intersection Claim | Chronology and Document Index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Cedar Lane - Cyclist Intersection Claim | Chronology and Document Index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