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FreshNest - Sleepy Tea Label Refresh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FreshNest - Sleepy Tea Label Refresh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Drew Hart reported the central issue: A tea company wants to make its calming blend feel more magical for a grocery reset, but the draft label moves from 'bedtime ritual' toward claims that sound like treatment.</w:t>
      </w:r>
    </w:p>
    <w:p>
      <w:r>
        <w:t>Day 1 - Counsel requested the first preservation set and assigned redline label and campaign claims by support level.</w:t>
      </w:r>
    </w:p>
    <w:p>
      <w:r>
        <w:t>Day 3 - Asha Bell confirmed the internal records owner and outstanding information gaps.</w:t>
      </w:r>
    </w:p>
    <w:p>
      <w:r>
        <w:t>Next milestone - Complete create testimonial, influencer, and moderation guidance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Drew Hart (Director of Brand Compliance).</w:t>
      </w:r>
    </w:p>
    <w:p>
      <w:r>
        <w:t>Records and billing contact: Asha Bell (Quality Manager).</w:t>
      </w:r>
    </w:p>
    <w:p>
      <w:r>
        <w:t>External stakeholder: Carmen Bell for MarketSquare Grocers, Inc.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Classify the proposed claims, suggest safer alternatives, and build a ten-day approval plan for the label refresh.</w:t>
      </w:r>
    </w:p>
    <w:p>
      <w:r>
        <w:t>Immediate action: Redline label and campaign claims by support level.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FreshNest - Sleepy Tea Label Refresh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FreshNest - Sleepy Tea Label Refresh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