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Marigold Estate - Garden Shop Transition | Client Intake and Contact Profile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client file · privileged demonstration work paper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Marigold Estate - Garden Shop Transition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beloved garden-shop owner left a handwritten note, a small greenhouse business, and three adult children who all agree the shop should survive but disagree about who should run it.</w:t>
      </w:r>
    </w:p>
    <w:p>
      <w:pPr>
        <w:pStyle w:val="Heading1"/>
        <w:numPr>
          <w:ilvl w:val="0"/>
          <w:numId w:val="10"/>
        </w:numPr>
      </w:pPr>
      <w:r>
        <w:t>Client Profile</w:t>
      </w:r>
    </w:p>
    <w:p>
      <w:r>
        <w:t>Organization: Marigold Estate Representative (fictional)</w:t>
      </w:r>
    </w:p>
    <w:p>
      <w:r>
        <w:t>Primary contact: Skyler Bennett, Program Director</w:t>
      </w:r>
    </w:p>
    <w:p>
      <w:r>
        <w:t>Secondary contact: Lena Marsh, Estate Accountant</w:t>
      </w:r>
    </w:p>
    <w:p>
      <w:r>
        <w:t>Office: 310 Juniper Street, Cleveland, OH 44113</w:t>
      </w:r>
    </w:p>
    <w:p>
      <w:r>
        <w:t>Direct line: +1-202-555-0123 · Email: skyler.bennett@example.invalid</w:t>
      </w:r>
    </w:p>
    <w:p>
      <w:r>
        <w:t>Client since: 2025-05-15 · Preferred contact: email · Weekdays, 1:00-4:00 p.m. Eastern</w:t>
      </w:r>
    </w:p>
    <w:p>
      <w:r>
        <w:t>Billing profile: Monthly itemized invoice; electronic delivery; client approval required before third-party spend.</w:t>
      </w:r>
    </w:p>
    <w:p>
      <w:pPr>
        <w:pStyle w:val="Heading1"/>
        <w:numPr>
          <w:ilvl w:val="0"/>
          <w:numId w:val="10"/>
        </w:numPr>
      </w:pPr>
      <w:r>
        <w:t>Initial Intake</w:t>
      </w:r>
    </w:p>
    <w:p>
      <w:r>
        <w:t>A beloved garden-shop owner left a handwritten note, a small greenhouse business, and three adult children who all agree the shop should survive but disagree about who should run it.</w:t>
      </w:r>
    </w:p>
    <w:p>
      <w:r>
        <w:t>Conflict check recorded as cleared for this fictional demonstration file.</w:t>
      </w:r>
    </w:p>
    <w:p>
      <w:r>
        <w:t>Client asked for a practical work plan, source-grounded risk summary, and attorney-reviewed communications.</w:t>
      </w:r>
    </w:p>
    <w:p>
      <w:pPr>
        <w:pStyle w:val="Heading1"/>
        <w:numPr>
          <w:ilvl w:val="0"/>
          <w:numId w:val="10"/>
        </w:numPr>
      </w:pPr>
      <w:r>
        <w:t>Other Known Parties</w:t>
      </w:r>
    </w:p>
    <w:p>
      <w:r>
        <w:t>Counterparty or stakeholder: Marigold Family Beneficiaries (fictional).</w:t>
      </w:r>
    </w:p>
    <w:p>
      <w:r>
        <w:t>Primary outside contact: Jamie Marigold (counterparty-14@example.invalid).</w:t>
      </w:r>
    </w:p>
    <w:p>
      <w:r>
        <w:t>Party information is fictional and is included solely to demonstrate a complete matter file.</w:t>
      </w:r>
    </w:p>
    <w:p>
      <w:pPr>
        <w:pStyle w:val="Heading1"/>
        <w:numPr>
          <w:ilvl w:val="0"/>
          <w:numId w:val="10"/>
        </w:numPr>
      </w:pPr>
      <w:r>
        <w:t>Open Questions for Counsel</w:t>
      </w:r>
    </w:p>
    <w:p>
      <w:r>
        <w:t>Confirm governing documents, venue, and jurisdiction-specific requirements before advice or external action.</w:t>
      </w:r>
    </w:p>
    <w:p>
      <w:r>
        <w:t>Confirm the client representative's authority and any insurance, notice, or consent obligations.</w:t>
      </w:r>
    </w:p>
    <w:p>
      <w:r>
        <w:t>Identify records that require preservation or privilege treatment.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Marigold Estate - Garden Shop Transition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Marigold Estate - Garden Shop Transition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